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HWT-1101F21MT6W-E</w:t>
      </w:r>
    </w:p>
    <w:p>
      <w:pPr>
        <w:pStyle w:val="Heading1"/>
      </w:pPr>
      <w:bookmarkStart w:id="1" w:name="_Toc1"/>
      <w:r>
        <w:t>Komp. Hydrobox +6kW EH f. AG 8/1101 (2Z)</w:t>
      </w:r>
      <w:bookmarkEnd w:id="1"/>
    </w:p>
    <w:p>
      <w:pPr/>
      <w:r>
        <w:rPr>
          <w:rFonts w:ascii="Arial" w:hAnsi="Arial" w:eastAsia="Arial" w:cs="Arial"/>
          <w:sz w:val="20"/>
          <w:szCs w:val="20"/>
        </w:rPr>
        <w:t xml:space="preserve">Toshiba</w:t>
      </w:r>
    </w:p>
    <w:p/>
    <w:p>
      <w:pPr/>
      <w:r>
        <w:rPr>
          <w:rFonts w:ascii="Arial" w:hAnsi="Arial" w:eastAsia="Arial" w:cs="Arial"/>
          <w:sz w:val="20"/>
          <w:szCs w:val="20"/>
        </w:rPr>
        <w:t xml:space="preserve">GERÄT</w:t>
      </w:r>
    </w:p>
    <w:p>
      <w:pPr/>
      <w:r>
        <w:rPr>
          <w:rFonts w:ascii="Arial" w:hAnsi="Arial" w:eastAsia="Arial" w:cs="Arial"/>
          <w:sz w:val="20"/>
          <w:szCs w:val="20"/>
        </w:rPr>
        <w:t xml:space="preserve">Die neue, kompakte Hydraulikbox zur Innenaufstellung wurde speziell für die ESTIA-Baureihe mit Kältemittel R 32 entwickelt und besticht durch herausragende Werte in der Energieeffizienz. Das All-In-One System beinhaltet die Hydraulikbox mit integriertem </w:t>
      </w:r>
    </w:p>
    <w:p>
      <w:pPr/>
      <w:r>
        <w:rPr>
          <w:rFonts w:ascii="Arial" w:hAnsi="Arial" w:eastAsia="Arial" w:cs="Arial"/>
          <w:sz w:val="20"/>
          <w:szCs w:val="20"/>
        </w:rPr>
        <w:t xml:space="preserve">210 l Brauwasserspeicher für eine platzsparende Installation. Ein Ausdehnungsgefäß ist standardmäßig enthalten.</w:t>
      </w:r>
    </w:p>
    <w:p>
      <w:pPr/>
      <w:r>
        <w:rPr>
          <w:rFonts w:ascii="Arial" w:hAnsi="Arial" w:eastAsia="Arial" w:cs="Arial"/>
          <w:sz w:val="20"/>
          <w:szCs w:val="20"/>
        </w:rPr>
        <w:t xml:space="preserve">Die vom Außengerät erzeugte Wärmeenergie wird über einen Plattenwärmetauscher von der Kältemittelseite auf die Wasserseite übertragen. Kältemittelseitig verfügt das System über Drucksensoren und einen Hochdruckschalter zur Verflüssigungsdruckregelung bzw. Sicherheitsabschaltung. Wasserseitig enthält die Hydraulikbox einen elektronischen Wasserdurchflußsensor, ein Ausdehnungsgefäß, ein Elektroheizregister incl. zwei Temperaturwächter, ein Entlüftungsventil, ein Sicherheitsventil, ein Manometer und eine hocheffiziente Umwälzpumpe mit Energieeffizienzklasse A, die je nach Anforderung mit variabler oder fest einstellbarer Drehzahl betrieben werden kann. </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Mit nur einer Hydraulikbox bieten sich individuelle Kombinationsmöglichkeiten verschiedener Systemausführungen mit oder ohne Brauchwassererzeugung, einer bzw. optional zwei Heiztemperaturzonen mit unterschiedlichen Vorlauftemperaturen an. Für die optionale zweite Zone sind bauseits zusätzlich eine Umwälzpumpe und ein stetig regelndes Mischventil erforderlich. Eine Raumtemperatursteuerung über optionaler Fernbedienung sowie Kaltwassererzeugung für Umluftkühlgeräte im Sommerbetrieb sind ebenfalls möglich. Außerdem besteht die Möglichkeit zur Einbindung zusätzlicher Heizsysteme mit fossilen Energieträgern oder Sonnenkollektoren in das System.</w:t>
      </w:r>
    </w:p>
    <w:p>
      <w:pPr/>
      <w:r>
        <w:rPr>
          <w:rFonts w:ascii="Arial" w:hAnsi="Arial" w:eastAsia="Arial" w:cs="Arial"/>
          <w:sz w:val="20"/>
          <w:szCs w:val="20"/>
        </w:rPr>
        <w:t xml:space="preserve">Es besteht weiterhin die Möglichkeit bis zu acht Systeme über eine, optional zwei Kabelfernbedienungen HWS-AMSU51E in Gruppe zu regeln.</w:t>
      </w:r>
    </w:p>
    <w:p>
      <w:pPr/>
      <w:r>
        <w:rPr>
          <w:rFonts w:ascii="Arial" w:hAnsi="Arial" w:eastAsia="Arial" w:cs="Arial"/>
          <w:sz w:val="20"/>
          <w:szCs w:val="20"/>
        </w:rPr>
        <w:t xml:space="preserve">Zur Einstellung der Betriebsparameter verfügt die Hydraulikbox über eine hintergrundbeleuchtete Kabelfernbedienung mit integrierter Wochenzeitschaltuhr. Folgende Parameter können je nach Systemausführung eingestellt werden:</w:t>
      </w:r>
    </w:p>
    <w:p>
      <w:pPr/>
      <w:r>
        <w:rPr>
          <w:rFonts w:ascii="Arial" w:hAnsi="Arial" w:eastAsia="Arial" w:cs="Arial"/>
          <w:sz w:val="20"/>
          <w:szCs w:val="20"/>
        </w:rPr>
        <w:t xml:space="preserve">- Ein/Aus für Zone 1, Zone 2 und Brauchwasserbereitung</w:t>
      </w:r>
    </w:p>
    <w:p>
      <w:pPr/>
      <w:r>
        <w:rPr>
          <w:rFonts w:ascii="Arial" w:hAnsi="Arial" w:eastAsia="Arial" w:cs="Arial"/>
          <w:sz w:val="20"/>
          <w:szCs w:val="20"/>
        </w:rPr>
        <w:t xml:space="preserve">- Sollwertverstellung für Zone 1, Zone 2 und Brauchwasserbereitung</w:t>
      </w:r>
    </w:p>
    <w:p>
      <w:pPr/>
      <w:r>
        <w:rPr>
          <w:rFonts w:ascii="Arial" w:hAnsi="Arial" w:eastAsia="Arial" w:cs="Arial"/>
          <w:sz w:val="20"/>
          <w:szCs w:val="20"/>
        </w:rPr>
        <w:t xml:space="preserve">- Automatikmodus zur automatischen Anpassung der Vorlauftemperaturen in Abhängigkeit der Außentemperatur </w:t>
      </w:r>
    </w:p>
    <w:p>
      <w:pPr/>
      <w:r>
        <w:rPr>
          <w:rFonts w:ascii="Arial" w:hAnsi="Arial" w:eastAsia="Arial" w:cs="Arial"/>
          <w:sz w:val="20"/>
          <w:szCs w:val="20"/>
        </w:rPr>
        <w:t xml:space="preserve">- Betriebsart Heizen oder Kühlen für Zone 1 und Zone 2</w:t>
      </w:r>
    </w:p>
    <w:p>
      <w:pPr/>
      <w:r>
        <w:rPr>
          <w:rFonts w:ascii="Arial" w:hAnsi="Arial" w:eastAsia="Arial" w:cs="Arial"/>
          <w:sz w:val="20"/>
          <w:szCs w:val="20"/>
        </w:rPr>
        <w:t xml:space="preserve">- Frostschutzmodus für Zeiten längerer Nichtbenutzung</w:t>
      </w:r>
    </w:p>
    <w:p>
      <w:pPr/>
      <w:r>
        <w:rPr>
          <w:rFonts w:ascii="Arial" w:hAnsi="Arial" w:eastAsia="Arial" w:cs="Arial"/>
          <w:sz w:val="20"/>
          <w:szCs w:val="20"/>
        </w:rPr>
        <w:t xml:space="preserve">- Nachtbetrieb mit Absenkung der Vorlauftemperatur zur Geräuschreduzierung und Energieeinsparung</w:t>
      </w:r>
    </w:p>
    <w:p>
      <w:pPr/>
      <w:r>
        <w:rPr>
          <w:rFonts w:ascii="Arial" w:hAnsi="Arial" w:eastAsia="Arial" w:cs="Arial"/>
          <w:sz w:val="20"/>
          <w:szCs w:val="20"/>
        </w:rPr>
        <w:t xml:space="preserve">-  Legionellenschaltungen - Funktion zur regelmäßigen Erhöhung der Brauchwasser-temperatur (Schutz vor Legionellen)</w:t>
      </w:r>
    </w:p>
    <w:p>
      <w:pPr/>
      <w:r>
        <w:rPr>
          <w:rFonts w:ascii="Arial" w:hAnsi="Arial" w:eastAsia="Arial" w:cs="Arial"/>
          <w:sz w:val="20"/>
          <w:szCs w:val="20"/>
        </w:rPr>
        <w:t xml:space="preserve">- Boosterfunktion für Warmwasser - Funktion zur vorübergehenden Verstärkung der Brauchwasserbereitung für Zeitraum einer gesteigerten Abnahme</w:t>
      </w:r>
    </w:p>
    <w:p>
      <w:pPr/>
      <w:r>
        <w:rPr>
          <w:rFonts w:ascii="Arial" w:hAnsi="Arial" w:eastAsia="Arial" w:cs="Arial"/>
          <w:sz w:val="20"/>
          <w:szCs w:val="20"/>
        </w:rPr>
        <w:t xml:space="preserve">- Gerät Smart Grid Ready fähig</w:t>
      </w:r>
    </w:p>
    <w:p>
      <w:pPr/>
      <w:r>
        <w:rPr>
          <w:rFonts w:ascii="Arial" w:hAnsi="Arial" w:eastAsia="Arial" w:cs="Arial"/>
          <w:sz w:val="20"/>
          <w:szCs w:val="20"/>
        </w:rPr>
        <w:t xml:space="preserve">Über eine zweite Menüebene erfolgt die Anpassung interner Parameter über das Funktionscodemenü. Hier können umfangreiche zusätzliche Einstellungen, wie zum Beispiel obere und untere Grenzwerte der Vorlauftemperaturen, Start- und Stopptemperaturen der Elektroheizregister, Anpassung der Heizkurve für Automatikbetrieb, Betriebszeiten der Brauchwasserbereitung, Nachtabsenkung und Legionellenschaltung, vorgenommen werden. </w:t>
      </w:r>
    </w:p>
    <w:p>
      <w:pPr/>
      <w:r>
        <w:rPr>
          <w:rFonts w:ascii="Arial" w:hAnsi="Arial" w:eastAsia="Arial" w:cs="Arial"/>
          <w:sz w:val="20"/>
          <w:szCs w:val="20"/>
        </w:rPr>
        <w:t xml:space="preserve">Individuell kann ein Zeitprogramm für kontrolliertes Aufheizen des neuen Estrichfußbodens programmiert werden.</w:t>
      </w:r>
    </w:p>
    <w:p>
      <w:pPr/>
      <w:r>
        <w:rPr>
          <w:rFonts w:ascii="Arial" w:hAnsi="Arial" w:eastAsia="Arial" w:cs="Arial"/>
          <w:sz w:val="20"/>
          <w:szCs w:val="20"/>
        </w:rPr>
        <w:t xml:space="preserve"/>
      </w:r>
    </w:p>
    <w:p>
      <w:pPr/>
      <w:r>
        <w:rPr>
          <w:rFonts w:ascii="Arial" w:hAnsi="Arial" w:eastAsia="Arial" w:cs="Arial"/>
          <w:sz w:val="20"/>
          <w:szCs w:val="20"/>
        </w:rPr>
        <w:t xml:space="preserve">Sämtliche Temperaturen im Kältemittel- und Warmwasserkreislauf werden über Temperatursensoren erfasst und können über die Regelungseinheit angezeigt werden. Zusätzlich können die Stromaufnahme und die Betriebsfrequenz des Verdichters, sowie die Betriebsstunden der Umwälzpumpe und der Elektroheizung angezeigt werden.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Kompatibel mit Außengerät</w:t>
      </w:r>
    </w:p>
    <w:p>
      <w:pPr/>
      <w:r>
        <w:rPr>
          <w:rFonts w:ascii="Arial" w:hAnsi="Arial" w:eastAsia="Arial" w:cs="Arial"/>
          <w:sz w:val="20"/>
          <w:szCs w:val="20"/>
        </w:rPr>
        <w:t xml:space="preserve">801 und 1101</w:t>
      </w:r>
    </w:p>
    <w:p/>
    <w:p>
      <w:pPr/>
      <w:r>
        <w:rPr>
          <w:rFonts w:ascii="Arial" w:hAnsi="Arial" w:eastAsia="Arial" w:cs="Arial"/>
          <w:sz w:val="20"/>
          <w:szCs w:val="20"/>
        </w:rPr>
        <w:t xml:space="preserve">2-Zonen Betrieb</w:t>
      </w:r>
    </w:p>
    <w:p>
      <w:pPr/>
      <w:r>
        <w:rPr>
          <w:rFonts w:ascii="Arial" w:hAnsi="Arial" w:eastAsia="Arial" w:cs="Arial"/>
          <w:sz w:val="20"/>
          <w:szCs w:val="20"/>
        </w:rPr>
        <w:t xml:space="preserve">verfügbar</w:t>
      </w:r>
    </w:p>
    <w:p/>
    <w:p>
      <w:pPr/>
      <w:r>
        <w:rPr>
          <w:rFonts w:ascii="Arial" w:hAnsi="Arial" w:eastAsia="Arial" w:cs="Arial"/>
          <w:sz w:val="20"/>
          <w:szCs w:val="20"/>
        </w:rPr>
        <w:t xml:space="preserve">Energie Effizienzklasse</w:t>
      </w:r>
    </w:p>
    <w:p>
      <w:pPr/>
      <w:r>
        <w:rPr>
          <w:rFonts w:ascii="Arial" w:hAnsi="Arial" w:eastAsia="Arial" w:cs="Arial"/>
          <w:sz w:val="20"/>
          <w:szCs w:val="20"/>
        </w:rPr>
        <w:t xml:space="preserve">A+</w:t>
      </w:r>
    </w:p>
    <w:p/>
    <w:p>
      <w:pPr/>
      <w:r>
        <w:rPr>
          <w:rFonts w:ascii="Arial" w:hAnsi="Arial" w:eastAsia="Arial" w:cs="Arial"/>
          <w:sz w:val="20"/>
          <w:szCs w:val="20"/>
        </w:rPr>
        <w:t xml:space="preserve">ETA WH</w:t>
      </w:r>
    </w:p>
    <w:p>
      <w:pPr/>
      <w:r>
        <w:rPr>
          <w:rFonts w:ascii="Arial" w:hAnsi="Arial" w:eastAsia="Arial" w:cs="Arial"/>
          <w:sz w:val="20"/>
          <w:szCs w:val="20"/>
        </w:rPr>
        <w:t xml:space="preserve">(η WH)</w:t>
      </w:r>
    </w:p>
    <w:p>
      <w:pPr/>
      <w:r>
        <w:rPr>
          <w:rFonts w:ascii="Arial" w:hAnsi="Arial" w:eastAsia="Arial" w:cs="Arial"/>
          <w:sz w:val="20"/>
          <w:szCs w:val="20"/>
        </w:rPr>
        <w:t xml:space="preserve">130 %</w:t>
      </w:r>
    </w:p>
    <w:p/>
    <w:p>
      <w:pPr/>
      <w:r>
        <w:rPr>
          <w:rFonts w:ascii="Arial" w:hAnsi="Arial" w:eastAsia="Arial" w:cs="Arial"/>
          <w:sz w:val="20"/>
          <w:szCs w:val="20"/>
        </w:rPr>
        <w:t xml:space="preserve">COP bei Luft 7°C</w:t>
      </w:r>
    </w:p>
    <w:p>
      <w:pPr/>
      <w:r>
        <w:rPr>
          <w:rFonts w:ascii="Arial" w:hAnsi="Arial" w:eastAsia="Arial" w:cs="Arial"/>
          <w:sz w:val="20"/>
          <w:szCs w:val="20"/>
        </w:rPr>
        <w:t xml:space="preserve">(EN16147)</w:t>
      </w:r>
    </w:p>
    <w:p>
      <w:pPr/>
      <w:r>
        <w:rPr>
          <w:rFonts w:ascii="Arial" w:hAnsi="Arial" w:eastAsia="Arial" w:cs="Arial"/>
          <w:sz w:val="20"/>
          <w:szCs w:val="20"/>
        </w:rPr>
        <w:t xml:space="preserve">3.12</w:t>
      </w:r>
    </w:p>
    <w:p/>
    <w:p>
      <w:pPr/>
      <w:r>
        <w:rPr>
          <w:rFonts w:ascii="Arial" w:hAnsi="Arial" w:eastAsia="Arial" w:cs="Arial"/>
          <w:sz w:val="20"/>
          <w:szCs w:val="20"/>
        </w:rPr>
        <w:t xml:space="preserve">Benötigte Heizzeit</w:t>
      </w:r>
    </w:p>
    <w:p>
      <w:pPr/>
      <w:r>
        <w:rPr>
          <w:rFonts w:ascii="Arial" w:hAnsi="Arial" w:eastAsia="Arial" w:cs="Arial"/>
          <w:sz w:val="20"/>
          <w:szCs w:val="20"/>
        </w:rPr>
        <w:t xml:space="preserve">01h05 Hrs</w:t>
      </w:r>
    </w:p>
    <w:p/>
    <w:p>
      <w:pPr/>
      <w:r>
        <w:rPr>
          <w:rFonts w:ascii="Arial" w:hAnsi="Arial" w:eastAsia="Arial" w:cs="Arial"/>
          <w:sz w:val="20"/>
          <w:szCs w:val="20"/>
        </w:rPr>
        <w:t xml:space="preserve">Vmax @40°C</w:t>
      </w:r>
    </w:p>
    <w:p>
      <w:pPr/>
      <w:r>
        <w:rPr>
          <w:rFonts w:ascii="Arial" w:hAnsi="Arial" w:eastAsia="Arial" w:cs="Arial"/>
          <w:sz w:val="20"/>
          <w:szCs w:val="20"/>
        </w:rPr>
        <w:t xml:space="preserve">220 l</w:t>
      </w:r>
    </w:p>
    <w:p/>
    <w:p>
      <w:pPr/>
      <w:r>
        <w:rPr>
          <w:rFonts w:ascii="Arial" w:hAnsi="Arial" w:eastAsia="Arial" w:cs="Arial"/>
          <w:sz w:val="20"/>
          <w:szCs w:val="20"/>
        </w:rPr>
        <w:t xml:space="preserve">Max. Vorlauftemperatur</w:t>
      </w:r>
    </w:p>
    <w:p>
      <w:pPr/>
      <w:r>
        <w:rPr>
          <w:rFonts w:ascii="Arial" w:hAnsi="Arial" w:eastAsia="Arial" w:cs="Arial"/>
          <w:sz w:val="20"/>
          <w:szCs w:val="20"/>
        </w:rPr>
        <w:t xml:space="preserve">(+ E-Heizstab)</w:t>
      </w:r>
    </w:p>
    <w:p>
      <w:pPr/>
      <w:r>
        <w:rPr>
          <w:rFonts w:ascii="Arial" w:hAnsi="Arial" w:eastAsia="Arial" w:cs="Arial"/>
          <w:sz w:val="20"/>
          <w:szCs w:val="20"/>
        </w:rPr>
        <w:t xml:space="preserve">H</w:t>
      </w:r>
    </w:p>
    <w:p>
      <w:pPr/>
      <w:r>
        <w:rPr>
          <w:rFonts w:ascii="Arial" w:hAnsi="Arial" w:eastAsia="Arial" w:cs="Arial"/>
          <w:sz w:val="20"/>
          <w:szCs w:val="20"/>
        </w:rPr>
        <w:t xml:space="preserve">65 °C</w:t>
      </w:r>
    </w:p>
    <w:p/>
    <w:p>
      <w:pPr/>
      <w:r>
        <w:rPr>
          <w:rFonts w:ascii="Arial" w:hAnsi="Arial" w:eastAsia="Arial" w:cs="Arial"/>
          <w:sz w:val="20"/>
          <w:szCs w:val="20"/>
        </w:rPr>
        <w:t xml:space="preserve">Max. Temperatur Anti-Legionellen-Progr.*</w:t>
      </w:r>
    </w:p>
    <w:p>
      <w:pPr/>
      <w:r>
        <w:rPr>
          <w:rFonts w:ascii="Arial" w:hAnsi="Arial" w:eastAsia="Arial" w:cs="Arial"/>
          <w:sz w:val="20"/>
          <w:szCs w:val="20"/>
        </w:rPr>
        <w:t xml:space="preserve">65 °C</w:t>
      </w:r>
    </w:p>
    <w:p/>
    <w:p>
      <w:pPr/>
      <w:r>
        <w:rPr>
          <w:rFonts w:ascii="Arial" w:hAnsi="Arial" w:eastAsia="Arial" w:cs="Arial"/>
          <w:sz w:val="20"/>
          <w:szCs w:val="20"/>
        </w:rPr>
        <w:t xml:space="preserve">Vorlauftemperatur Kühlen C</w:t>
      </w:r>
    </w:p>
    <w:p>
      <w:pPr/>
      <w:r>
        <w:rPr>
          <w:rFonts w:ascii="Arial" w:hAnsi="Arial" w:eastAsia="Arial" w:cs="Arial"/>
          <w:sz w:val="20"/>
          <w:szCs w:val="20"/>
        </w:rPr>
        <w:t xml:space="preserve">7/25 °C</w:t>
      </w:r>
    </w:p>
    <w:p/>
    <w:p>
      <w:pPr/>
      <w:r>
        <w:rPr>
          <w:rFonts w:ascii="Arial" w:hAnsi="Arial" w:eastAsia="Arial" w:cs="Arial"/>
          <w:sz w:val="20"/>
          <w:szCs w:val="20"/>
        </w:rPr>
        <w:t xml:space="preserve">Tank</w:t>
      </w:r>
    </w:p>
    <w:p>
      <w:pPr/>
      <w:r>
        <w:rPr>
          <w:rFonts w:ascii="Arial" w:hAnsi="Arial" w:eastAsia="Arial" w:cs="Arial"/>
          <w:sz w:val="20"/>
          <w:szCs w:val="20"/>
        </w:rPr>
        <w:t xml:space="preserve">(Wasservolumen)</w:t>
      </w:r>
    </w:p>
    <w:p>
      <w:pPr/>
      <w:r>
        <w:rPr>
          <w:rFonts w:ascii="Arial" w:hAnsi="Arial" w:eastAsia="Arial" w:cs="Arial"/>
          <w:sz w:val="20"/>
          <w:szCs w:val="20"/>
        </w:rPr>
        <w:t xml:space="preserve">210 l</w:t>
      </w:r>
    </w:p>
    <w:p/>
    <w:p>
      <w:pPr/>
      <w:r>
        <w:rPr>
          <w:rFonts w:ascii="Arial" w:hAnsi="Arial" w:eastAsia="Arial" w:cs="Arial"/>
          <w:sz w:val="20"/>
          <w:szCs w:val="20"/>
        </w:rPr>
        <w:t xml:space="preserve">Tank</w:t>
      </w:r>
    </w:p>
    <w:p>
      <w:pPr/>
      <w:r>
        <w:rPr>
          <w:rFonts w:ascii="Arial" w:hAnsi="Arial" w:eastAsia="Arial" w:cs="Arial"/>
          <w:sz w:val="20"/>
          <w:szCs w:val="20"/>
        </w:rPr>
        <w:t xml:space="preserve">(Material)</w:t>
      </w:r>
    </w:p>
    <w:p>
      <w:pPr/>
      <w:r>
        <w:rPr>
          <w:rFonts w:ascii="Arial" w:hAnsi="Arial" w:eastAsia="Arial" w:cs="Arial"/>
          <w:sz w:val="20"/>
          <w:szCs w:val="20"/>
        </w:rPr>
        <w:t xml:space="preserve">Emailiert</w:t>
      </w:r>
    </w:p>
    <w:p/>
    <w:p>
      <w:pPr/>
      <w:r>
        <w:rPr>
          <w:rFonts w:ascii="Arial" w:hAnsi="Arial" w:eastAsia="Arial" w:cs="Arial"/>
          <w:sz w:val="20"/>
          <w:szCs w:val="20"/>
        </w:rPr>
        <w:t xml:space="preserve">Tank</w:t>
      </w:r>
    </w:p>
    <w:p>
      <w:pPr/>
      <w:r>
        <w:rPr>
          <w:rFonts w:ascii="Arial" w:hAnsi="Arial" w:eastAsia="Arial" w:cs="Arial"/>
          <w:sz w:val="20"/>
          <w:szCs w:val="20"/>
        </w:rPr>
        <w:t xml:space="preserve">(Max. Wasserdruck)</w:t>
      </w:r>
    </w:p>
    <w:p>
      <w:pPr/>
      <w:r>
        <w:rPr>
          <w:rFonts w:ascii="Arial" w:hAnsi="Arial" w:eastAsia="Arial" w:cs="Arial"/>
          <w:sz w:val="20"/>
          <w:szCs w:val="20"/>
        </w:rPr>
        <w:t xml:space="preserve">6 bar</w:t>
      </w:r>
    </w:p>
    <w:p/>
    <w:p>
      <w:pPr/>
      <w:r>
        <w:rPr>
          <w:rFonts w:ascii="Arial" w:hAnsi="Arial" w:eastAsia="Arial" w:cs="Arial"/>
          <w:sz w:val="20"/>
          <w:szCs w:val="20"/>
        </w:rPr>
        <w:t xml:space="preserve">Ausdehnungsgefäß Volumen</w:t>
      </w:r>
    </w:p>
    <w:p>
      <w:pPr/>
      <w:r>
        <w:rPr>
          <w:rFonts w:ascii="Arial" w:hAnsi="Arial" w:eastAsia="Arial" w:cs="Arial"/>
          <w:sz w:val="20"/>
          <w:szCs w:val="20"/>
        </w:rPr>
        <w:t xml:space="preserve">10 l</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42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31 dB(A)</w:t>
      </w:r>
    </w:p>
    <w:p/>
    <w:p>
      <w:pPr/>
      <w:r>
        <w:rPr>
          <w:rFonts w:ascii="Arial" w:hAnsi="Arial" w:eastAsia="Arial" w:cs="Arial"/>
          <w:sz w:val="20"/>
          <w:szCs w:val="20"/>
        </w:rPr>
        <w:t xml:space="preserve">Abmessungen</w:t>
      </w:r>
    </w:p>
    <w:p>
      <w:pPr/>
      <w:r>
        <w:rPr>
          <w:rFonts w:ascii="Arial" w:hAnsi="Arial" w:eastAsia="Arial" w:cs="Arial"/>
          <w:sz w:val="20"/>
          <w:szCs w:val="20"/>
        </w:rPr>
        <w:t xml:space="preserve">(HxBxT)</w:t>
      </w:r>
    </w:p>
    <w:p>
      <w:pPr/>
      <w:r>
        <w:rPr>
          <w:rFonts w:ascii="Arial" w:hAnsi="Arial" w:eastAsia="Arial" w:cs="Arial"/>
          <w:sz w:val="20"/>
          <w:szCs w:val="20"/>
        </w:rPr>
        <w:t xml:space="preserve">1700 x 600 x 670 mm</w:t>
      </w:r>
    </w:p>
    <w:p/>
    <w:p>
      <w:pPr/>
      <w:r>
        <w:rPr>
          <w:rFonts w:ascii="Arial" w:hAnsi="Arial" w:eastAsia="Arial" w:cs="Arial"/>
          <w:sz w:val="20"/>
          <w:szCs w:val="20"/>
        </w:rPr>
        <w:t xml:space="preserve">Gewicht</w:t>
      </w:r>
    </w:p>
    <w:p>
      <w:pPr/>
      <w:r>
        <w:rPr>
          <w:rFonts w:ascii="Arial" w:hAnsi="Arial" w:eastAsia="Arial" w:cs="Arial"/>
          <w:sz w:val="20"/>
          <w:szCs w:val="20"/>
        </w:rPr>
        <w:t xml:space="preserve">162 Kg</w:t>
      </w:r>
    </w:p>
    <w:p/>
    <w:p>
      <w:pPr/>
      <w:r>
        <w:rPr>
          <w:rFonts w:ascii="Arial" w:hAnsi="Arial" w:eastAsia="Arial" w:cs="Arial"/>
          <w:sz w:val="20"/>
          <w:szCs w:val="20"/>
        </w:rPr>
        <w:t xml:space="preserve">Leistung E-Heizstab</w:t>
      </w:r>
    </w:p>
    <w:p>
      <w:pPr/>
      <w:r>
        <w:rPr>
          <w:rFonts w:ascii="Arial" w:hAnsi="Arial" w:eastAsia="Arial" w:cs="Arial"/>
          <w:sz w:val="20"/>
          <w:szCs w:val="20"/>
        </w:rPr>
        <w:t xml:space="preserve">6 kW</w:t>
      </w:r>
    </w:p>
    <w:p/>
    <w:p>
      <w:pPr/>
      <w:r>
        <w:rPr>
          <w:rFonts w:ascii="Arial" w:hAnsi="Arial" w:eastAsia="Arial" w:cs="Arial"/>
          <w:sz w:val="20"/>
          <w:szCs w:val="20"/>
        </w:rPr>
        <w:t xml:space="preserve">Betriebsspannung E-Heizstab</w:t>
      </w:r>
    </w:p>
    <w:p>
      <w:pPr/>
      <w:r>
        <w:rPr>
          <w:rFonts w:ascii="Arial" w:hAnsi="Arial" w:eastAsia="Arial" w:cs="Arial"/>
          <w:sz w:val="20"/>
          <w:szCs w:val="20"/>
        </w:rPr>
        <w:t xml:space="preserve">220/230-1-50 V-ph-Hz</w:t>
      </w:r>
    </w:p>
    <w:p/>
    <w:p>
      <w:pPr/>
      <w:r>
        <w:rPr>
          <w:rFonts w:ascii="Arial" w:hAnsi="Arial" w:eastAsia="Arial" w:cs="Arial"/>
          <w:sz w:val="20"/>
          <w:szCs w:val="20"/>
        </w:rPr>
        <w:t xml:space="preserve">Max. Betriebsstrom</w:t>
      </w:r>
    </w:p>
    <w:p>
      <w:pPr/>
      <w:r>
        <w:rPr>
          <w:rFonts w:ascii="Arial" w:hAnsi="Arial" w:eastAsia="Arial" w:cs="Arial"/>
          <w:sz w:val="20"/>
          <w:szCs w:val="20"/>
        </w:rPr>
        <w:t xml:space="preserve">2x13 A</w:t>
      </w:r>
    </w:p>
    <w:p/>
    <w:p>
      <w:pPr/>
      <w:r>
        <w:rPr>
          <w:rFonts w:ascii="Arial" w:hAnsi="Arial" w:eastAsia="Arial" w:cs="Arial"/>
          <w:sz w:val="20"/>
          <w:szCs w:val="20"/>
        </w:rPr>
        <w:t xml:space="preserve">Empfohlene Absicherung</w:t>
      </w:r>
    </w:p>
    <w:p>
      <w:pPr/>
      <w:r>
        <w:rPr>
          <w:rFonts w:ascii="Arial" w:hAnsi="Arial" w:eastAsia="Arial" w:cs="Arial"/>
          <w:sz w:val="20"/>
          <w:szCs w:val="20"/>
        </w:rPr>
        <w:t xml:space="preserve">2x16 A</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HWS-AMSU51-E</w:t>
      </w:r>
    </w:p>
    <w:p>
      <w:pPr/>
      <w:r>
        <w:rPr>
          <w:rFonts w:ascii="Arial" w:hAnsi="Arial" w:eastAsia="Arial" w:cs="Arial"/>
          <w:sz w:val="20"/>
          <w:szCs w:val="20"/>
        </w:rPr>
        <w:t xml:space="preserve">Estia Kabelfernbedienung</w:t>
      </w:r>
    </w:p>
    <w:p/>
    <w:p>
      <w:pPr/>
      <w:r>
        <w:rPr>
          <w:rFonts w:ascii="Arial" w:hAnsi="Arial" w:eastAsia="Arial" w:cs="Arial"/>
          <w:sz w:val="20"/>
          <w:szCs w:val="20"/>
        </w:rPr>
        <w:t xml:space="preserve">HWS-IFAIP01U-E</w:t>
      </w:r>
    </w:p>
    <w:p>
      <w:pPr/>
      <w:r>
        <w:rPr>
          <w:rFonts w:ascii="Arial" w:hAnsi="Arial" w:eastAsia="Arial" w:cs="Arial"/>
          <w:sz w:val="20"/>
          <w:szCs w:val="20"/>
        </w:rPr>
        <w:t xml:space="preserve">0-10V Schnittstelle ESTIA</w:t>
      </w:r>
    </w:p>
    <w:p/>
    <w:p>
      <w:pPr/>
      <w:r>
        <w:rPr>
          <w:rFonts w:ascii="Arial" w:hAnsi="Arial" w:eastAsia="Arial" w:cs="Arial"/>
          <w:sz w:val="20"/>
          <w:szCs w:val="20"/>
        </w:rPr>
        <w:t xml:space="preserve">HWS-IWF0010UP-E</w:t>
      </w:r>
    </w:p>
    <w:p>
      <w:pPr/>
      <w:r>
        <w:rPr>
          <w:rFonts w:ascii="Arial" w:hAnsi="Arial" w:eastAsia="Arial" w:cs="Arial"/>
          <w:sz w:val="20"/>
          <w:szCs w:val="20"/>
        </w:rPr>
        <w:t xml:space="preserve">WiFi-Modul ESTIA</w:t>
      </w:r>
    </w:p>
    <w:p/>
    <w:p>
      <w:pPr/>
      <w:r>
        <w:rPr>
          <w:rFonts w:ascii="Arial" w:hAnsi="Arial" w:eastAsia="Arial" w:cs="Arial"/>
          <w:sz w:val="20"/>
          <w:szCs w:val="20"/>
        </w:rPr>
        <w:t xml:space="preserve">BMS-IFMB0UEW-E</w:t>
      </w:r>
    </w:p>
    <w:p>
      <w:pPr/>
      <w:r>
        <w:rPr>
          <w:rFonts w:ascii="Arial" w:hAnsi="Arial" w:eastAsia="Arial" w:cs="Arial"/>
          <w:sz w:val="20"/>
          <w:szCs w:val="20"/>
        </w:rPr>
        <w:t xml:space="preserve">Modbus-Modul für Estia Serie 1 R32</w:t>
      </w:r>
    </w:p>
    <w:p/>
    <w:p>
      <w:pPr/>
      <w:r>
        <w:rPr>
          <w:rFonts w:ascii="Arial" w:hAnsi="Arial" w:eastAsia="Arial" w:cs="Arial"/>
          <w:sz w:val="20"/>
          <w:szCs w:val="20"/>
        </w:rPr>
        <w:t xml:space="preserve">BMS-IFKX0UEW-E</w:t>
      </w:r>
    </w:p>
    <w:p>
      <w:pPr/>
      <w:r>
        <w:rPr>
          <w:rFonts w:ascii="Arial" w:hAnsi="Arial" w:eastAsia="Arial" w:cs="Arial"/>
          <w:sz w:val="20"/>
          <w:szCs w:val="20"/>
        </w:rPr>
        <w:t xml:space="preserve">KNX-Modul für Estia Serie 1 R32</w:t>
      </w:r>
    </w:p>
    <w:p/>
    <w:p>
      <w:pPr/>
      <w:r>
        <w:rPr>
          <w:rFonts w:ascii="Arial" w:hAnsi="Arial" w:eastAsia="Arial" w:cs="Arial"/>
          <w:sz w:val="20"/>
          <w:szCs w:val="20"/>
        </w:rPr>
        <w:t xml:space="preserve">BP-THERM-1</w:t>
      </w:r>
    </w:p>
    <w:p>
      <w:pPr/>
      <w:r>
        <w:rPr>
          <w:rFonts w:ascii="Arial" w:hAnsi="Arial" w:eastAsia="Arial" w:cs="Arial"/>
          <w:sz w:val="20"/>
          <w:szCs w:val="20"/>
        </w:rPr>
        <w:t xml:space="preserve">Estia Energy Monitoring Modul</w:t>
      </w:r>
    </w:p>
    <w:p/>
    <w:p>
      <w:pPr/>
      <w:r>
        <w:rPr>
          <w:rFonts w:ascii="Arial" w:hAnsi="Arial" w:eastAsia="Arial" w:cs="Arial"/>
          <w:sz w:val="20"/>
          <w:szCs w:val="20"/>
        </w:rPr>
        <w:t xml:space="preserve">HWS-CPR01W-E</w:t>
      </w:r>
    </w:p>
    <w:p>
      <w:pPr/>
      <w:r>
        <w:rPr>
          <w:rFonts w:ascii="Arial" w:hAnsi="Arial" w:eastAsia="Arial" w:cs="Arial"/>
          <w:sz w:val="20"/>
          <w:szCs w:val="20"/>
        </w:rPr>
        <w:t xml:space="preserve">Optionale Zirkulationsleitung AIO</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21:00:51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2024-10-17T19:00:51+00:00</dcterms:created>
  <dcterms:modified xsi:type="dcterms:W3CDTF">2024-10-17T19:00:51+00:00</dcterms:modified>
</cp:coreProperties>
</file>

<file path=docProps/custom.xml><?xml version="1.0" encoding="utf-8"?>
<Properties xmlns="http://schemas.openxmlformats.org/officeDocument/2006/custom-properties" xmlns:vt="http://schemas.openxmlformats.org/officeDocument/2006/docPropsVTypes"/>
</file>