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RAV-HM401MUT-E</w:t>
      </w:r>
    </w:p>
    <w:p>
      <w:pPr>
        <w:pStyle w:val="Heading1"/>
      </w:pPr>
      <w:bookmarkStart w:id="1" w:name="_Toc1"/>
      <w:r>
        <w:t>4WegeKassette 60x60 3,6/4,0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Luftausblaspaneel aus hellem Kunststoff, wahlweise mit integrierbarem Infrarotempfänger oder integrierbarem Bewegungssensor und Kabelfernbedienung. Luftansaug von unten über Luftfilter, Luftausblas über 2, 3 oder 4 Seiten. Die Luftleitlamellen können über 4 Motoren unabhängig voneinander in fünf unterschiedliche Positionen eingestellt werden. In der Luftleitlamellen-Betriebsart Swing stehen folgende Modi zur Verfügung Auto-, Dual- und Cycle-Swing, ferner kann je nach Betriebs-Art eine automatische Positionierung eingestellt werden. Durch das speziell entwickelte Design der Lamellen wird die Schmutzablagerung an den Luftauslässen auf ein Minimum reduziert. Das Gerät lässt sich an unterschiedliche Deckenhöhen anpassen. Ein Frischluftanteil und ein Kanalanschluss für benachbarte Räume lassen sich über vorgestanzte Ausbrechöffnungen leicht realisieren. Der Schaltkasten befindet sich seitlich am Gerät. Nach Öffnen des Luftansauggitters sind alle wichtigen Einbauteile des Gerätes leicht zugänglich. Das Innengerät wurde für Inverter-System mit Kältemittel R32 / R410A konzipiert.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eingestellt werden. Anbindung an Zentralfernbedienung oder Gebäudeleitsystem über optionale 1:1 Platine.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660/468 - 183/130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41/32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56/47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660/468 - 183/130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41/32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56/47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256 x 575 x 575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2.5 kg</w:t>
      </w:r>
    </w:p>
    <w:p/>
    <w:p>
      <w:pPr/>
      <w:r>
        <w:rPr>
          <w:rFonts w:ascii="Arial" w:hAnsi="Arial" w:eastAsia="Arial" w:cs="Arial"/>
          <w:sz w:val="20"/>
          <w:szCs w:val="20"/>
        </w:rPr>
        <w:t xml:space="preserve">Gewicht</w:t>
      </w:r>
    </w:p>
    <w:p>
      <w:pPr/>
      <w:r>
        <w:rPr>
          <w:rFonts w:ascii="Arial" w:hAnsi="Arial" w:eastAsia="Arial" w:cs="Arial"/>
          <w:sz w:val="20"/>
          <w:szCs w:val="20"/>
        </w:rPr>
        <w:t xml:space="preserve">15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12 x 620 x 620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2024-09-07T21:02:28+00:00</dcterms:created>
  <dcterms:modified xsi:type="dcterms:W3CDTF">2024-09-07T21:02:28+00:00</dcterms:modified>
</cp:coreProperties>
</file>

<file path=docProps/custom.xml><?xml version="1.0" encoding="utf-8"?>
<Properties xmlns="http://schemas.openxmlformats.org/officeDocument/2006/custom-properties" xmlns:vt="http://schemas.openxmlformats.org/officeDocument/2006/docPropsVTypes"/>
</file>