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RAS-B22G3KVSG-E</w:t>
      </w:r>
    </w:p>
    <w:p>
      <w:pPr>
        <w:pStyle w:val="Heading1"/>
      </w:pPr>
      <w:bookmarkStart w:id="1" w:name="_Toc1"/>
      <w:r>
        <w:t>Shorai EDGE WHITE Wandgerät 6,0/7,0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in klassisch weißem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1032-286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45/27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1080-299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58/40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2024-09-07T21:01:14+00:00</dcterms:created>
  <dcterms:modified xsi:type="dcterms:W3CDTF">2024-09-07T21:01:14+00:00</dcterms:modified>
</cp:coreProperties>
</file>

<file path=docProps/custom.xml><?xml version="1.0" encoding="utf-8"?>
<Properties xmlns="http://schemas.openxmlformats.org/officeDocument/2006/custom-properties" xmlns:vt="http://schemas.openxmlformats.org/officeDocument/2006/docPropsVTypes"/>
</file>