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RAV-HM301KRTP-E</w:t>
      </w:r>
    </w:p>
    <w:p>
      <w:pPr>
        <w:pStyle w:val="Heading1"/>
      </w:pPr>
      <w:bookmarkStart w:id="1" w:name="_Toc1"/>
      <w:r>
        <w:t>Wandgerät 2,5/3,4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optisch sehr ansprechende Klima-Wandgerät in klassischer heller Farbgebung wurde für Kältemittel R32 konzipiert. Eine einstellbare Luftleitlamelle sorgt für individuelle Komfortregelung. Die Lamelle kann motorisch in fünf vertikale feste Positionen oder in Swing-Betrieb eingestellt werden. Der Lufteintritt befindet sich an der Geräteoberseite. Die herausnehmbaren, regenerierbaren Luftfilter sind durch ein leicht zu öffnendes Luftansauggitter zugänglich. Nach Öffnen des Luftansauggitters sind die Elektroanschlüsse des Gerätes gut zugänglich. Die Gerätemontage erfolgt über eine Trägerplatte an der Wand. Es besteht die Möglichkeit die Kältemittelleitungen variabel an das Gerät heranzuführen. Es verfügt über Bördel Anschlüsse. Das Gerät ist mit einer Vielzahl an Fernbedienungen kombinierbar. Eine Infrarotfernbedienung wird als Standard mitgeliefert.</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L-förmige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Gleichstrom (DC-) Tangentialventilator sorgt mit neu entwickelten Ventilatorschaufeln und bis zu fünf Lüfterstufen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670/450 - 186/125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40/29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55/44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670/450 - 186/125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40/29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55/44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798 x 230 mm</w:t>
      </w:r>
    </w:p>
    <w:p/>
    <w:p>
      <w:pPr/>
      <w:r>
        <w:rPr>
          <w:rFonts w:ascii="Arial" w:hAnsi="Arial" w:eastAsia="Arial" w:cs="Arial"/>
          <w:sz w:val="20"/>
          <w:szCs w:val="20"/>
        </w:rPr>
        <w:t xml:space="preserve">Gewicht</w:t>
      </w:r>
    </w:p>
    <w:p>
      <w:pPr/>
      <w:r>
        <w:rPr>
          <w:rFonts w:ascii="Arial" w:hAnsi="Arial" w:eastAsia="Arial" w:cs="Arial"/>
          <w:sz w:val="20"/>
          <w:szCs w:val="20"/>
        </w:rPr>
        <w:t xml:space="preserve">10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23:01:58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2024-09-07T21:01:58+00:00</dcterms:created>
  <dcterms:modified xsi:type="dcterms:W3CDTF">2024-09-07T21:01:58+00:00</dcterms:modified>
</cp:coreProperties>
</file>

<file path=docProps/custom.xml><?xml version="1.0" encoding="utf-8"?>
<Properties xmlns="http://schemas.openxmlformats.org/officeDocument/2006/custom-properties" xmlns:vt="http://schemas.openxmlformats.org/officeDocument/2006/docPropsVTypes"/>
</file>