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RAV-GP801ATW-E</w:t>
      </w:r>
    </w:p>
    <w:p>
      <w:pPr>
        <w:pStyle w:val="Heading1"/>
      </w:pPr>
      <w:bookmarkStart w:id="1" w:name="_Toc1"/>
      <w:r>
        <w:t>SDI Außengerät 7,1/8,0 kW 230V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R32 konzipiert. Der Inverter ermöglicht eine bedarfsabhängige Drehzahlregulierung des Verdichters. Durch ein Kreislaufumkehrventil lässt sich das Außengerät als Wärmepumpe und Kühlgerät einsetzen. Die Kältemittelanschlüsse können über Absperrventile mit Bördelverbindung variabel angeschlossen werden. Invertergeregelte Lüftermotoren ermöglicht den Betrieb der Anlage bis zu Außentemperaturen von -15°C / 52°C im Kühlbetrieb und -27°C / 15°C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R32 optimierter, schalldämpfend gekapselter Gleichstrom Doppel-Rollkolbenverdichter garantiert sehr leisen Betrieb mit optimaler Leistungsentfaltung bei minimalem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R32 konzipierter, großflächiger Hochleistungswärmeaustauscher bestehend aus Kupferkernrohren mit aufgepressten Aluminiumlamellen, zweireihig L-förmig angeordnet, ein seitliches, stabiles Schutzgitter beugt mechanischen Deformationen vor, Ablauf für Kondensatwasser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 Axialventilatoren, nach vorn ausblasend, sorgen für sehr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w:t>
      </w:r>
    </w:p>
    <w:p>
      <w:pPr/>
      <w:r>
        <w:rPr>
          <w:rFonts w:ascii="Arial" w:hAnsi="Arial" w:eastAsia="Arial" w:cs="Arial"/>
          <w:sz w:val="20"/>
          <w:szCs w:val="20"/>
        </w:rPr>
        <w:t xml:space="preserve">Das Gerät besitzt Bördelanschlüsse (Anschluss 15,88 mm und 9,53 mm)</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Invertertechnologie für bedarfsabhängige Drehzahlregulierung des Verdichters und der Lüftermotoren sorgen für einen effizienten Betrieb und eine optimale Ausnutzung des Hochleistungswärmeaustauschers in allen Leistungsbereichen. Bedarfsabtauung im Heizbetrieb durch temperaturdifferenzgesteuerte Abtauautomatik. Thermistoren für PID-Regelung: Sensor zur Regelung der Überhitzung im Kühlbetrieb und zur Regelung der Unterkühlung im Heizbetrieb sowie Sensor zur Prozessoptimierung. Detaillierte Fehleranalyse und optisches Autodiagnosesystem durch LED-Anzeigen, Betriebszustände und Störungen können über ein LED-Leuchtband leicht abgelesen werden.</w:t>
      </w:r>
    </w:p>
    <w:p>
      <w:pPr/>
      <w:r>
        <w:rPr>
          <w:rFonts w:ascii="Arial" w:hAnsi="Arial" w:eastAsia="Arial" w:cs="Arial"/>
          <w:sz w:val="20"/>
          <w:szCs w:val="20"/>
        </w:rPr>
        <w:t xml:space="preserve">Das Gerät kann über eine Service-Dip-Schalterbank auf:</w:t>
      </w:r>
    </w:p>
    <w:p>
      <w:pPr/>
      <w:r>
        <w:rPr>
          <w:rFonts w:ascii="Arial" w:hAnsi="Arial" w:eastAsia="Arial" w:cs="Arial"/>
          <w:sz w:val="20"/>
          <w:szCs w:val="20"/>
        </w:rPr>
        <w:t xml:space="preserve">- 5 Pa externe statische Pressung eingestellt werden</w:t>
      </w:r>
    </w:p>
    <w:p>
      <w:pPr/>
      <w:r>
        <w:rPr>
          <w:rFonts w:ascii="Arial" w:hAnsi="Arial" w:eastAsia="Arial" w:cs="Arial"/>
          <w:sz w:val="20"/>
          <w:szCs w:val="20"/>
        </w:rPr>
        <w:t xml:space="preserve">- an einen größeren Saugleitungsquerschnitt (R22-Systeme) angepasst werden</w:t>
      </w:r>
    </w:p>
    <w:p>
      <w:pPr/>
      <w:r>
        <w:rPr>
          <w:rFonts w:ascii="Arial" w:hAnsi="Arial" w:eastAsia="Arial" w:cs="Arial"/>
          <w:sz w:val="20"/>
          <w:szCs w:val="20"/>
        </w:rPr>
        <w:t xml:space="preserve">-eine Energieeinsparfunktion im Heizbetrieb eingestellt werden, hierbei wird die   </w:t>
      </w:r>
    </w:p>
    <w:p>
      <w:pPr/>
      <w:r>
        <w:rPr>
          <w:rFonts w:ascii="Arial" w:hAnsi="Arial" w:eastAsia="Arial" w:cs="Arial"/>
          <w:sz w:val="20"/>
          <w:szCs w:val="20"/>
        </w:rPr>
        <w:t xml:space="preserve">  Verdichterfrequenz um ca. 10% reduziert</w:t>
      </w:r>
    </w:p>
    <w:p>
      <w:pPr/>
      <w:r>
        <w:rPr>
          <w:rFonts w:ascii="Arial" w:hAnsi="Arial" w:eastAsia="Arial" w:cs="Arial"/>
          <w:sz w:val="20"/>
          <w:szCs w:val="20"/>
        </w:rPr>
        <w:t xml:space="preserve">- einen kontinuierlichen Lüfterbetrieb in kleinster Stufe ab einer Außentemperatur kleiner 0°C </w:t>
      </w:r>
    </w:p>
    <w:p>
      <w:pPr/>
      <w:r>
        <w:rPr>
          <w:rFonts w:ascii="Arial" w:hAnsi="Arial" w:eastAsia="Arial" w:cs="Arial"/>
          <w:sz w:val="20"/>
          <w:szCs w:val="20"/>
        </w:rPr>
        <w:t xml:space="preserve">  eingestellt werden, hierbei wird ein Festfrieren der Lüfterlager verhindert</w:t>
      </w:r>
    </w:p>
    <w:p>
      <w:pPr/>
      <w:r>
        <w:rPr>
          <w:rFonts w:ascii="Arial" w:hAnsi="Arial" w:eastAsia="Arial" w:cs="Arial"/>
          <w:sz w:val="20"/>
          <w:szCs w:val="20"/>
        </w:rPr>
        <w:t xml:space="preserve">  Über Jumper kann das Außengerät zusätzlich angepasst werden:</w:t>
      </w:r>
    </w:p>
    <w:p>
      <w:pPr/>
      <w:r>
        <w:rPr>
          <w:rFonts w:ascii="Arial" w:hAnsi="Arial" w:eastAsia="Arial" w:cs="Arial"/>
          <w:sz w:val="20"/>
          <w:szCs w:val="20"/>
        </w:rPr>
        <w:t xml:space="preserve">- Veränderung des Abtauzyklus</w:t>
      </w:r>
    </w:p>
    <w:p>
      <w:pPr/>
      <w:r>
        <w:rPr>
          <w:rFonts w:ascii="Arial" w:hAnsi="Arial" w:eastAsia="Arial" w:cs="Arial"/>
          <w:sz w:val="20"/>
          <w:szCs w:val="20"/>
        </w:rPr>
        <w:t xml:space="preserve">- Maximale Verdichter Frequenz im Heizmodus</w:t>
      </w:r>
    </w:p>
    <w:p>
      <w:pPr/>
      <w:r>
        <w:rPr>
          <w:rFonts w:ascii="Arial" w:hAnsi="Arial" w:eastAsia="Arial" w:cs="Arial"/>
          <w:sz w:val="20"/>
          <w:szCs w:val="20"/>
        </w:rPr>
        <w:t xml:space="preserve">- Deaktivierung der Heizfunktion</w:t>
      </w:r>
    </w:p>
    <w:p>
      <w:pPr/>
      <w:r>
        <w:rPr>
          <w:rFonts w:ascii="Arial" w:hAnsi="Arial" w:eastAsia="Arial" w:cs="Arial"/>
          <w:sz w:val="20"/>
          <w:szCs w:val="20"/>
        </w:rPr>
        <w:t xml:space="preserve">Über Dip-Schalter-Kombinationen lassen sich Betriebszustände und Funktionen einstellen bzw. abrufen u.a.:</w:t>
      </w:r>
    </w:p>
    <w:p>
      <w:pPr/>
      <w:r>
        <w:rPr>
          <w:rFonts w:ascii="Arial" w:hAnsi="Arial" w:eastAsia="Arial" w:cs="Arial"/>
          <w:sz w:val="20"/>
          <w:szCs w:val="20"/>
        </w:rPr>
        <w:t xml:space="preserve">- Kältemittelrückgewinnung in das Außengerät</w:t>
      </w:r>
    </w:p>
    <w:p>
      <w:pPr/>
      <w:r>
        <w:rPr>
          <w:rFonts w:ascii="Arial" w:hAnsi="Arial" w:eastAsia="Arial" w:cs="Arial"/>
          <w:sz w:val="20"/>
          <w:szCs w:val="20"/>
        </w:rPr>
        <w:t xml:space="preserve">- Testbetrieb Kühlen</w:t>
      </w:r>
    </w:p>
    <w:p>
      <w:pPr/>
      <w:r>
        <w:rPr>
          <w:rFonts w:ascii="Arial" w:hAnsi="Arial" w:eastAsia="Arial" w:cs="Arial"/>
          <w:sz w:val="20"/>
          <w:szCs w:val="20"/>
        </w:rPr>
        <w:t xml:space="preserve">- Testbetrieb Heizen</w:t>
      </w:r>
    </w:p>
    <w:p>
      <w:pPr/>
      <w:r>
        <w:rPr>
          <w:rFonts w:ascii="Arial" w:hAnsi="Arial" w:eastAsia="Arial" w:cs="Arial"/>
          <w:sz w:val="20"/>
          <w:szCs w:val="20"/>
        </w:rPr>
        <w:t xml:space="preserve">- Testbetrieb Lüfter</w:t>
      </w:r>
    </w:p>
    <w:p>
      <w:pPr/>
      <w:r>
        <w:rPr>
          <w:rFonts w:ascii="Arial" w:hAnsi="Arial" w:eastAsia="Arial" w:cs="Arial"/>
          <w:sz w:val="20"/>
          <w:szCs w:val="20"/>
        </w:rPr>
        <w:t xml:space="preserve">- Öffnen und Schließen des Einspritzventils (PMV)</w:t>
      </w:r>
    </w:p>
    <w:p>
      <w:pPr/>
      <w:r>
        <w:rPr>
          <w:rFonts w:ascii="Arial" w:hAnsi="Arial" w:eastAsia="Arial" w:cs="Arial"/>
          <w:sz w:val="20"/>
          <w:szCs w:val="20"/>
        </w:rPr>
        <w:t xml:space="preserve">- sämtliche Thermistoren-Werte </w:t>
      </w:r>
    </w:p>
    <w:p>
      <w:pPr/>
      <w:r>
        <w:rPr>
          <w:rFonts w:ascii="Arial" w:hAnsi="Arial" w:eastAsia="Arial" w:cs="Arial"/>
          <w:sz w:val="20"/>
          <w:szCs w:val="20"/>
        </w:rPr>
        <w:t xml:space="preserve">- Öffnungsgrad PMV</w:t>
      </w:r>
    </w:p>
    <w:p>
      <w:pPr/>
      <w:r>
        <w:rPr>
          <w:rFonts w:ascii="Arial" w:hAnsi="Arial" w:eastAsia="Arial" w:cs="Arial"/>
          <w:sz w:val="20"/>
          <w:szCs w:val="20"/>
        </w:rPr>
        <w:t xml:space="preserve">- Verdichter Frequenz</w:t>
      </w:r>
    </w:p>
    <w:p>
      <w:pPr/>
      <w:r>
        <w:rPr>
          <w:rFonts w:ascii="Arial" w:hAnsi="Arial" w:eastAsia="Arial" w:cs="Arial"/>
          <w:sz w:val="20"/>
          <w:szCs w:val="20"/>
        </w:rPr>
        <w:t xml:space="preserve">- Stromaufnahme</w:t>
      </w:r>
    </w:p>
    <w:p>
      <w:pPr/>
      <w:r>
        <w:rPr>
          <w:rFonts w:ascii="Arial" w:hAnsi="Arial" w:eastAsia="Arial" w:cs="Arial"/>
          <w:sz w:val="20"/>
          <w:szCs w:val="20"/>
        </w:rPr>
        <w:t xml:space="preserve"/>
      </w:r>
    </w:p>
    <w:p>
      <w:pPr/>
      <w:r>
        <w:rPr>
          <w:rFonts w:ascii="Arial" w:hAnsi="Arial" w:eastAsia="Arial" w:cs="Arial"/>
          <w:sz w:val="20"/>
          <w:szCs w:val="20"/>
        </w:rPr>
        <w:t xml:space="preserve">Toshiba-TCC-Link Kommunikation mit Monitoring Funktion: Über das Monitoring lassen sich Außengeräteparameter an der Kabelfernbedienung RBC-AMSU51-ES / RBC-AMTU31E auslesen:</w:t>
      </w:r>
    </w:p>
    <w:p>
      <w:pPr/>
      <w:r>
        <w:rPr>
          <w:rFonts w:ascii="Arial" w:hAnsi="Arial" w:eastAsia="Arial" w:cs="Arial"/>
          <w:sz w:val="20"/>
          <w:szCs w:val="20"/>
        </w:rPr>
        <w:t xml:space="preserve">- Wärmeaustauschertemperatur</w:t>
      </w:r>
    </w:p>
    <w:p>
      <w:pPr/>
      <w:r>
        <w:rPr>
          <w:rFonts w:ascii="Arial" w:hAnsi="Arial" w:eastAsia="Arial" w:cs="Arial"/>
          <w:sz w:val="20"/>
          <w:szCs w:val="20"/>
        </w:rPr>
        <w:t xml:space="preserve">- Außentemperatur</w:t>
      </w:r>
    </w:p>
    <w:p>
      <w:pPr/>
      <w:r>
        <w:rPr>
          <w:rFonts w:ascii="Arial" w:hAnsi="Arial" w:eastAsia="Arial" w:cs="Arial"/>
          <w:sz w:val="20"/>
          <w:szCs w:val="20"/>
        </w:rPr>
        <w:t xml:space="preserve">- Heißgastemperatur</w:t>
      </w:r>
    </w:p>
    <w:p>
      <w:pPr/>
      <w:r>
        <w:rPr>
          <w:rFonts w:ascii="Arial" w:hAnsi="Arial" w:eastAsia="Arial" w:cs="Arial"/>
          <w:sz w:val="20"/>
          <w:szCs w:val="20"/>
        </w:rPr>
        <w:t xml:space="preserve">- Sauggastemperatur</w:t>
      </w:r>
    </w:p>
    <w:p>
      <w:pPr/>
      <w:r>
        <w:rPr>
          <w:rFonts w:ascii="Arial" w:hAnsi="Arial" w:eastAsia="Arial" w:cs="Arial"/>
          <w:sz w:val="20"/>
          <w:szCs w:val="20"/>
        </w:rPr>
        <w:t xml:space="preserve">- Frequenzumrichter-Kühlkörpertemperatur</w:t>
      </w:r>
    </w:p>
    <w:p>
      <w:pPr/>
      <w:r>
        <w:rPr>
          <w:rFonts w:ascii="Arial" w:hAnsi="Arial" w:eastAsia="Arial" w:cs="Arial"/>
          <w:sz w:val="20"/>
          <w:szCs w:val="20"/>
        </w:rPr>
        <w:t xml:space="preserve">- Stromaufnahme Außengerät</w:t>
      </w:r>
    </w:p>
    <w:p>
      <w:pPr/>
      <w:r>
        <w:rPr>
          <w:rFonts w:ascii="Arial" w:hAnsi="Arial" w:eastAsia="Arial" w:cs="Arial"/>
          <w:sz w:val="20"/>
          <w:szCs w:val="20"/>
        </w:rPr>
        <w:t xml:space="preserve">- Betriebsstunden Verdichter</w:t>
      </w:r>
    </w:p>
    <w:p>
      <w:pPr/>
      <w:r>
        <w:rPr>
          <w:rFonts w:ascii="Arial" w:hAnsi="Arial" w:eastAsia="Arial" w:cs="Arial"/>
          <w:sz w:val="20"/>
          <w:szCs w:val="20"/>
        </w:rPr>
        <w:t xml:space="preserve">- Drehzahl Verdichter </w:t>
      </w:r>
    </w:p>
    <w:p>
      <w:pPr/>
      <w:r>
        <w:rPr>
          <w:rFonts w:ascii="Arial" w:hAnsi="Arial" w:eastAsia="Arial" w:cs="Arial"/>
          <w:sz w:val="20"/>
          <w:szCs w:val="20"/>
        </w:rPr>
        <w:t xml:space="preserve">- Drehzahl Ventilator</w:t>
      </w:r>
    </w:p>
    <w:p>
      <w:pPr/>
      <w:r>
        <w:rPr>
          <w:rFonts w:ascii="Arial" w:hAnsi="Arial" w:eastAsia="Arial" w:cs="Arial"/>
          <w:sz w:val="20"/>
          <w:szCs w:val="20"/>
        </w:rPr>
        <w:t xml:space="preserve">Serienabhängige Funktionen (Innen-Außengerät) </w:t>
      </w:r>
    </w:p>
    <w:p>
      <w:pPr/>
      <w:r>
        <w:rPr>
          <w:rFonts w:ascii="Arial" w:hAnsi="Arial" w:eastAsia="Arial" w:cs="Arial"/>
          <w:sz w:val="20"/>
          <w:szCs w:val="20"/>
        </w:rPr>
        <w:t xml:space="preserve">Die programmierbare Energiesparoption erlaubt ein Leistungslimit der Verdichterleistung zwischen 50 und 100%. Die Nachtbetriebsoption ermöglicht die Leistung des Außengerätes zu reduzieren, um den Schallpegel während der Nachtzeiten zu senken. Für den Heizbetrieb unter extremen Witterungsbedingungen kann der Abtauzyklus von 150 auf 90, 60 oder 30 Minuten reduziert werden. Über die Fernbedienung RBC-AMSU51E-ES lässt sich der Stromverbrauch protokollieren, mögliche Darstellungen sind:</w:t>
      </w:r>
    </w:p>
    <w:p>
      <w:pPr/>
      <w:r>
        <w:rPr>
          <w:rFonts w:ascii="Arial" w:hAnsi="Arial" w:eastAsia="Arial" w:cs="Arial"/>
          <w:sz w:val="20"/>
          <w:szCs w:val="20"/>
        </w:rPr>
        <w:t xml:space="preserve">- Heute im Vergleich zum vorherigen Tag in 2 Stunden-Graphen</w:t>
      </w:r>
    </w:p>
    <w:p>
      <w:pPr/>
      <w:r>
        <w:rPr>
          <w:rFonts w:ascii="Arial" w:hAnsi="Arial" w:eastAsia="Arial" w:cs="Arial"/>
          <w:sz w:val="20"/>
          <w:szCs w:val="20"/>
        </w:rPr>
        <w:t xml:space="preserve">- Heute im Vergleich zur letzten Woche 2 Stunden-Graphen</w:t>
      </w:r>
    </w:p>
    <w:p>
      <w:pPr/>
      <w:r>
        <w:rPr>
          <w:rFonts w:ascii="Arial" w:hAnsi="Arial" w:eastAsia="Arial" w:cs="Arial"/>
          <w:sz w:val="20"/>
          <w:szCs w:val="20"/>
        </w:rPr>
        <w:t xml:space="preserve">- Diese Woche im Vergleich zur letzten Woche in 1 Tages-Graphen</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 Typ</w:t>
      </w:r>
    </w:p>
    <w:p>
      <w:pPr/>
      <w:r>
        <w:rPr>
          <w:rFonts w:ascii="Arial" w:hAnsi="Arial" w:eastAsia="Arial" w:cs="Arial"/>
          <w:sz w:val="20"/>
          <w:szCs w:val="20"/>
        </w:rPr>
        <w:t xml:space="preserve">Gleichstrom-Doppel-Rollkolben</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1.9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3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50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30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30 m</w:t>
      </w:r>
    </w:p>
    <w:p/>
    <w:p>
      <w:pPr/>
      <w:r>
        <w:rPr>
          <w:rFonts w:ascii="Arial" w:hAnsi="Arial" w:eastAsia="Arial" w:cs="Arial"/>
          <w:sz w:val="20"/>
          <w:szCs w:val="20"/>
        </w:rPr>
        <w:t xml:space="preserve">Nachfüllmenge</w:t>
      </w:r>
    </w:p>
    <w:p>
      <w:pPr/>
      <w:r>
        <w:rPr>
          <w:rFonts w:ascii="Arial" w:hAnsi="Arial" w:eastAsia="Arial" w:cs="Arial"/>
          <w:sz w:val="20"/>
          <w:szCs w:val="20"/>
        </w:rPr>
        <w:t xml:space="preserve">30 g/m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9.52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15.9 mm</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883 l/s</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3180 m³/h</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46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63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48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66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1050 x 1010 x 370 mm</w:t>
      </w:r>
    </w:p>
    <w:p/>
    <w:p>
      <w:pPr/>
      <w:r>
        <w:rPr>
          <w:rFonts w:ascii="Arial" w:hAnsi="Arial" w:eastAsia="Arial" w:cs="Arial"/>
          <w:sz w:val="20"/>
          <w:szCs w:val="20"/>
        </w:rPr>
        <w:t xml:space="preserve">Gewicht</w:t>
      </w:r>
    </w:p>
    <w:p>
      <w:pPr/>
      <w:r>
        <w:rPr>
          <w:rFonts w:ascii="Arial" w:hAnsi="Arial" w:eastAsia="Arial" w:cs="Arial"/>
          <w:sz w:val="20"/>
          <w:szCs w:val="20"/>
        </w:rPr>
        <w:t xml:space="preserve">74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20.8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 / + 52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-27 / +15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1283</w:t>
      </w:r>
    </w:p>
    <w:p/>
    <w:p>
      <w:pPr/>
      <w:r>
        <w:rPr>
          <w:rFonts w:ascii="Arial" w:hAnsi="Arial" w:eastAsia="Arial" w:cs="Arial"/>
          <w:sz w:val="20"/>
          <w:szCs w:val="20"/>
        </w:rPr>
        <w:t xml:space="preserve">Minimale Grundfläche für die</w:t>
      </w:r>
    </w:p>
    <w:p>
      <w:pPr/>
      <w:r>
        <w:rPr>
          <w:rFonts w:ascii="Arial" w:hAnsi="Arial" w:eastAsia="Arial" w:cs="Arial"/>
          <w:sz w:val="20"/>
          <w:szCs w:val="20"/>
        </w:rPr>
        <w:t xml:space="preserve">Installation</w:t>
      </w:r>
    </w:p>
    <w:p>
      <w:pPr/>
      <w:r>
        <w:rPr>
          <w:rFonts w:ascii="Arial" w:hAnsi="Arial" w:eastAsia="Arial" w:cs="Arial"/>
          <w:sz w:val="20"/>
          <w:szCs w:val="20"/>
        </w:rPr>
        <w:t xml:space="preserve">Gemäß DIN EN 378 m²</w:t>
      </w:r>
    </w:p>
    <w:p/>
    <w:p>
      <w:pPr/>
      <w:r>
        <w:rPr>
          <w:rFonts w:ascii="Arial" w:hAnsi="Arial" w:eastAsia="Arial" w:cs="Arial"/>
          <w:sz w:val="20"/>
          <w:szCs w:val="20"/>
        </w:rPr>
        <w:t xml:space="preserve">K-Querschnitt Zuleitung</w:t>
      </w:r>
    </w:p>
    <w:p>
      <w:pPr/>
      <w:r>
        <w:rPr>
          <w:rFonts w:ascii="Arial" w:hAnsi="Arial" w:eastAsia="Arial" w:cs="Arial"/>
          <w:sz w:val="20"/>
          <w:szCs w:val="20"/>
        </w:rPr>
        <w:t xml:space="preserve">4 mm²</w:t>
      </w:r>
    </w:p>
    <w:p/>
    <w:p>
      <w:pPr/>
      <w:r>
        <w:rPr>
          <w:rFonts w:ascii="Arial" w:hAnsi="Arial" w:eastAsia="Arial" w:cs="Arial"/>
          <w:sz w:val="20"/>
          <w:szCs w:val="20"/>
        </w:rPr>
        <w:t xml:space="preserve">K-Querschnitt Verbindungsleitung</w:t>
      </w:r>
    </w:p>
    <w:p>
      <w:pPr/>
      <w:r>
        <w:rPr>
          <w:rFonts w:ascii="Arial" w:hAnsi="Arial" w:eastAsia="Arial" w:cs="Arial"/>
          <w:sz w:val="20"/>
          <w:szCs w:val="20"/>
        </w:rPr>
        <w:t xml:space="preserve">1.5 mm²</w:t>
      </w:r>
    </w:p>
    <w:p/>
    <w:p>
      <w:pPr/>
      <w:r>
        <w:rPr>
          <w:rFonts w:ascii="Arial" w:hAnsi="Arial" w:eastAsia="Arial" w:cs="Arial"/>
          <w:sz w:val="20"/>
          <w:szCs w:val="20"/>
        </w:rPr>
        <w:t xml:space="preserve">Sicherung</w:t>
      </w:r>
    </w:p>
    <w:p>
      <w:pPr/>
      <w:r>
        <w:rPr>
          <w:rFonts w:ascii="Arial" w:hAnsi="Arial" w:eastAsia="Arial" w:cs="Arial"/>
          <w:sz w:val="20"/>
          <w:szCs w:val="20"/>
        </w:rPr>
        <w:t xml:space="preserve">25 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4.7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TCB-PCOS1E2</w:t>
      </w:r>
    </w:p>
    <w:p>
      <w:pPr/>
      <w:r>
        <w:rPr>
          <w:rFonts w:ascii="Arial" w:hAnsi="Arial" w:eastAsia="Arial" w:cs="Arial"/>
          <w:sz w:val="20"/>
          <w:szCs w:val="20"/>
        </w:rPr>
        <w:t xml:space="preserve">Betriebsmeldung Außengerät SDI / DI</w:t>
      </w:r>
    </w:p>
    <w:p/>
    <w:p>
      <w:pPr/>
      <w:r>
        <w:rPr>
          <w:rFonts w:ascii="Arial" w:hAnsi="Arial" w:eastAsia="Arial" w:cs="Arial"/>
          <w:sz w:val="20"/>
          <w:szCs w:val="20"/>
        </w:rPr>
        <w:t xml:space="preserve">CUW-3</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23:03:15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2024-09-07T21:03:15+00:00</dcterms:created>
  <dcterms:modified xsi:type="dcterms:W3CDTF">2024-09-07T21:03:15+00:00</dcterms:modified>
</cp:coreProperties>
</file>

<file path=docProps/custom.xml><?xml version="1.0" encoding="utf-8"?>
<Properties xmlns="http://schemas.openxmlformats.org/officeDocument/2006/custom-properties" xmlns:vt="http://schemas.openxmlformats.org/officeDocument/2006/docPropsVTypes"/>
</file>