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0"/>
          <w:szCs w:val="20"/>
        </w:rPr>
        <w:t xml:space="preserve">TCB-PCOS1E2</w:t>
      </w:r>
    </w:p>
    <w:p>
      <w:pPr>
        <w:pStyle w:val="Heading1"/>
      </w:pPr>
      <w:bookmarkStart w:id="1" w:name="_Toc1"/>
      <w:r>
        <w:t>Betriebsmeldung Außengerät SDI / DI</w:t>
      </w:r>
      <w:bookmarkEnd w:id="1"/>
    </w:p>
    <w:p>
      <w:pPr/>
      <w:r>
        <w:rPr>
          <w:rFonts w:ascii="Arial" w:hAnsi="Arial" w:eastAsia="Arial" w:cs="Arial"/>
          <w:sz w:val="20"/>
          <w:szCs w:val="20"/>
        </w:rPr>
        <w:t xml:space="preserve">Fabr. Toshiba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Technische Änderungen und Irrtum vorbehalten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Generiert am: 15.09.2024 23:00:24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Arial" w:hAnsi="Arial" w:eastAsia="Arial" w:cs="Arial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2024-09-15T21:00:24+00:00</dcterms:created>
  <dcterms:modified xsi:type="dcterms:W3CDTF">2024-09-15T21:00:24+00:00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