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RAV-HM901UTP-E</w:t>
      </w:r>
    </w:p>
    <w:p>
      <w:pPr>
        <w:pStyle w:val="Heading1"/>
      </w:pPr>
      <w:bookmarkStart w:id="1" w:name="_Toc1"/>
      <w:r>
        <w:t>Std. 4-Wege-Kassette 8,0/9,0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Deckenpaneel aus hellem Kunststoff wahlweiser Betrieb über Kabelfernbedienung oder integrierbaren Infrarotempfänger. Luftansaug von unten über regenerierbaren Luftfilter, Luftausblas über 4 Seiten. Zur Raumanpassung können zwei Seiten verschlossen werden. Durch vormontierte Befestigungsschrauben ist das Deckenpaneel sehr einfach am Gerät zu montieren Die Luftleitlamellen können über 4 Motoren unabhängig voneinander in fünf unterschiedliche Positionen oder Swing-Betrieb eingestellt werden. Durch das speziell entwickelte Design der Lamellen wird eine Schmutzablagerung an den Luftauslässen auf ein Minimum reduziert. Ein Frischluftanteil und ein Kanalanschluss für benachbarte Räume lassen sich über vorgestanzte Ausbrechöffnungen leicht realisieren. Leichte Zugänglichkeit zu den elektronischen / elektrischen Bauteilen über Luftansauggitter. Das Innengerät wurde speziell für Inverter-Systeme mit Kältemittel R32 / R410A konzipiert. Es verfügt über Bördelanschlüsse und einer Kondensathebepumpe mit einem Lift von 850 mm ab Unterkante Zwischendecke. Im Verschlussdeckel des Pumpensumpfs integriertes Silberinonen-Granulat verhindert das Entstehen unangenehmer Gerüche bei längeren Stillstandszeiten der Anlage.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R32 konzipierte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 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1600/900 - 444/250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40/33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55/48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1600/900 - 444/250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40/33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55/48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319 x 840 x 840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4.2 kg</w:t>
      </w:r>
    </w:p>
    <w:p/>
    <w:p>
      <w:pPr/>
      <w:r>
        <w:rPr>
          <w:rFonts w:ascii="Arial" w:hAnsi="Arial" w:eastAsia="Arial" w:cs="Arial"/>
          <w:sz w:val="20"/>
          <w:szCs w:val="20"/>
        </w:rPr>
        <w:t xml:space="preserve">Gewicht</w:t>
      </w:r>
    </w:p>
    <w:p>
      <w:pPr/>
      <w:r>
        <w:rPr>
          <w:rFonts w:ascii="Arial" w:hAnsi="Arial" w:eastAsia="Arial" w:cs="Arial"/>
          <w:sz w:val="20"/>
          <w:szCs w:val="20"/>
        </w:rPr>
        <w:t xml:space="preserve">24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 x 950 x 950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23:02:57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2024-09-07T21:02:57+00:00</dcterms:created>
  <dcterms:modified xsi:type="dcterms:W3CDTF">2024-09-07T21:02:57+00:00</dcterms:modified>
</cp:coreProperties>
</file>

<file path=docProps/custom.xml><?xml version="1.0" encoding="utf-8"?>
<Properties xmlns="http://schemas.openxmlformats.org/officeDocument/2006/custom-properties" xmlns:vt="http://schemas.openxmlformats.org/officeDocument/2006/docPropsVTypes"/>
</file>