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0"/>
          <w:szCs w:val="20"/>
        </w:rPr>
        <w:t xml:space="preserve">RBM-BY55E-B</w:t>
      </w:r>
    </w:p>
    <w:p>
      <w:pPr>
        <w:pStyle w:val="Heading1"/>
      </w:pPr>
      <w:bookmarkStart w:id="1" w:name="_Toc1"/>
      <w:r>
        <w:t>Y-Abzweig SMMSe/u  =&lt; 18 kW</w:t>
      </w:r>
      <w:bookmarkEnd w:id="1"/>
    </w:p>
    <w:p>
      <w:pPr/>
      <w:r>
        <w:rPr>
          <w:rFonts w:ascii="Arial" w:hAnsi="Arial" w:eastAsia="Arial" w:cs="Arial"/>
          <w:sz w:val="20"/>
          <w:szCs w:val="20"/>
        </w:rPr>
        <w:t xml:space="preserve">Fabr. Toshiba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Technische Änderungen und Irrtum vorbehalten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Generiert am: 07.09.2024 23:00:23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rFonts w:ascii="Arial" w:hAnsi="Arial" w:eastAsia="Arial" w:cs="Arial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2024-09-07T21:00:23+00:00</dcterms:created>
  <dcterms:modified xsi:type="dcterms:W3CDTF">2024-09-07T21:00:23+00:00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