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HWS-G2601ENXR-E</w:t>
      </w:r>
    </w:p>
    <w:p>
      <w:pPr>
        <w:pStyle w:val="Heading1"/>
      </w:pPr>
      <w:bookmarkStart w:id="1" w:name="_Toc1"/>
      <w:r>
        <w:t>Brauchwasserwärmep. 260L Anschl. 180° ge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Toshiba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TECHNISCHE DATEN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Energieeffizienzklassse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A+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COP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3.69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Aufheizzeit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09:12 Std:Min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Speichervolumen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260 Liter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Vorlauftemperatur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(Wärmepumpe + Zusatzheizstab)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65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Vorlauftemperatur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(nur Wärmepumpe)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60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Korrossionsschutz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Magnesium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(Rohrleitungen freiliegend)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(ISO 12102)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55.6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(Rohrleitungen freiliegend)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38.6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(eingebaute Rohrleitungen)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(ISO 12102)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49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(eingebaute Rohrleitungen)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32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Anschlussleitung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160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Max. Ventilatorleistung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85 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Max. externe statische Pressung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200 Pa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Luftvolumenstrom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(min. - nominal - max.)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0 - 450 - 800 m3/h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Min. Raumvolumen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60 m3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Max. Leistungsaufnahme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2185 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Leistung E-Heizstab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1500 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Leistungsaufnahme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(Standby)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20 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Betriebsbereich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-7 / +40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Kältemittel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R134A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Kältemittelfüllmenge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1.28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Wasseranschlüsse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19.05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Standard Wasseranschluss Eintrittswinkel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45 Grad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Gewicht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(leer / gefüllt)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100/350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Kondensatwasseranschluss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19 Ø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Abmessungen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(Höhe x Durchmesser)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1960 x 620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Empfohlene Absicherung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13 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Betriebsspannung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230-1-50 V-ph-Hz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Max. wasserseitiger Druck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 Bar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Benötigte Installationshöhe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2223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Detaillierte, weiterführende kombinationsspezifische Daten entnehmen Sie bitte bei Bedarf unseren Datenbüchern oder unserer Website unter: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www.ecodesign.toshiba-airconditioning.eu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Angaben zu nominaler Heizleistung und Leistungszahl COP gemäß EN14511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Schalldruckpegel nach JIS B8616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Nennbedingungen Heizen: Außentemperatur 7°C TK / 6°C FK, 35°C Vorlauftemperatur bei DeltaT=5°C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Nennbedingungen Kühlen: Außentemperatur 35°C, 7°C Vorlauftemperatur bei DeltaT=5°C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Die max. Heizleistungen sind Spitzenwerte im max. Verdichter Betriebsbereich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 gem. EN 14511.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Installation, Wartung, Instandhaltung, Reparatur und Stilllegung an Anlagen, die fluorierte Treibhausgase enthalten, sind zertifizierungspflichtige Tätigkeiten. Bitte beachten Sie die gültigen Verordnungen und Vorschriften, insbesondere ChemOzonSchichtV und F-Gase Verordnung EU Nr. 517 / 2014.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* Es wird dringend empfohlen, den E-Heizstab bei Installation anzuschließen, um u.a. das Anti-Legionellen Programm aktivieren zu können.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23:00:43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2024-09-07T21:00:43+00:00</dcterms:created>
  <dcterms:modified xsi:type="dcterms:W3CDTF">2024-09-07T21:00:43+00:00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