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RAV-GM562ATP-E</w:t>
      </w:r>
    </w:p>
    <w:p>
      <w:pPr>
        <w:pStyle w:val="Heading1"/>
      </w:pPr>
      <w:bookmarkStart w:id="1" w:name="_Toc1"/>
      <w:r>
        <w:t>DI AG Serie2 R32 230V 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Hinweis: Die DI-Geräte der Serie 2 sind nur mit Innengeräten der Serie HM für Kältemittel R32 kompatibel.</w:t>
      </w:r>
    </w:p>
    <w:p>
      <w:pPr/>
      <w:r>
        <w:rPr>
          <w:rFonts w:ascii="Arial" w:hAnsi="Arial" w:eastAsia="Arial" w:cs="Arial"/>
          <w:sz w:val="20"/>
          <w:szCs w:val="20"/>
        </w:rPr>
        <w:t xml:space="preserve"/>
      </w:r>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 abhängige Drehzahlregulierung des Verdichters.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Außentemperaturen von -15°C / 46°C im Kühlbetrieb und -15°C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einseitig angeordnet, ein stabiles Schutzgitter beugt mechanischen Deformationen vor, Ablauf für Kondensat 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 (Anschluss 12,70 mm und 6,35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Hochleistungsauswärmetauschers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 Über einen Service-Taster kann das Gerät an Rohrsysteme mit größerem Saugleitungsquerschnitt (R22-Systeme) angepasst werden. Ein weiterer Service-Taster dient zur Kältemittelrückgewinnung in das Außengerät. </w:t>
      </w:r>
    </w:p>
    <w:p>
      <w:pPr/>
      <w:r>
        <w:rPr>
          <w:rFonts w:ascii="Arial" w:hAnsi="Arial" w:eastAsia="Arial" w:cs="Arial"/>
          <w:sz w:val="20"/>
          <w:szCs w:val="20"/>
        </w:rPr>
        <w:t xml:space="preserve">Toshiba-TCC-Link und TU2C Link Kommunikation mit Monitoring Funktion: Über das Monitoring lassen sich Außengeräteparameter an der Kabelfernbedienung RBC-AMSU51E-ES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in 3 möglichen Stufen zu reduzieren, um den Schallpegel während der Nachtzeiten zu senken. Für den Heizbetrieb unter extremen Witterungsbedingungen kann der Abtauzyklus von 150 auf 90, 60 oder 30 Minuten reduziert werden.</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667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2400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40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608</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2.5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20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2024-09-07T21:03:21+00:00</dcterms:created>
  <dcterms:modified xsi:type="dcterms:W3CDTF">2024-09-07T21:03:21+00:00</dcterms:modified>
</cp:coreProperties>
</file>

<file path=docProps/custom.xml><?xml version="1.0" encoding="utf-8"?>
<Properties xmlns="http://schemas.openxmlformats.org/officeDocument/2006/custom-properties" xmlns:vt="http://schemas.openxmlformats.org/officeDocument/2006/docPropsVTypes"/>
</file>