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MMK-UP0051HP-E</w:t>
      </w:r>
    </w:p>
    <w:p>
      <w:pPr>
        <w:pStyle w:val="Heading1"/>
      </w:pPr>
      <w:bookmarkStart w:id="1" w:name="_Toc1"/>
      <w:r>
        <w:t>VRF - Wandgerät kompakt 1,7/1,9 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Das Innengerät wurde speziell für Toshiba VRF-Systeme mit Kältemittel R410A entwickelt. Einstellbare Luftleitlamellen sorgen für individuelle Komfortregelung. Sie können motorisch in fünf vertikale feste Positionen oder in Swing-Betrieb eingestellt werden. Der Lufteintritt befindet sich auf der Vorderseite. Die Luftfilter sind durch ein sehr leicht zu öffnendes und zu demontierbares Luftansauggitter zugänglich und herausnehmbar. Nach Öffnen des Luftansauggitters sind die Elektroanschlüsse des Gerätes leicht zugänglich. Es besteht die Möglichkeit die Kältemittelleitungen von vier Richtungen in das Gerät einzuführen. Dadurch entsteht eine hohe Flexibilität bei der Montage. Das Gerät ist mit einer Vielzahl an Fernbedienungen kombinierbar. Eine Infrarotfernbedienung gehört zum Lieferumfang.</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R410A optimierte Hochleistungswärmeaustauscher garantiert durch seine kompakte Bauart einen sehr geringen Kältemittelinhalt.</w:t>
      </w:r>
    </w:p>
    <w:p>
      <w:pPr/>
      <w:r>
        <w:rPr>
          <w:rFonts w:ascii="Arial" w:hAnsi="Arial" w:eastAsia="Arial" w:cs="Arial"/>
          <w:sz w:val="20"/>
          <w:szCs w:val="20"/>
        </w:rPr>
        <w:t xml:space="preserve">Speziell profilierte Aluminiumlamellen sorgen für eine hohe Energieeffizienz. </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Ein direkt angetriebener, schwingungsarm gelagerter, statisch und dynamisch gewuchteter Gleichstrom (DC-) Radialventilatormotor sorgt mit neu entwickelten Ventilatorschaufeln und bis zu fünf Lüfterstufen für noch mehr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MIKROPROZESSORREGELUNG</w:t>
      </w:r>
    </w:p>
    <w:p>
      <w:pPr/>
      <w:r>
        <w:rPr>
          <w:rFonts w:ascii="Arial" w:hAnsi="Arial" w:eastAsia="Arial" w:cs="Arial"/>
          <w:sz w:val="20"/>
          <w:szCs w:val="20"/>
        </w:rPr>
        <w:t xml:space="preserve">Die mikroprozessorgestützte Regelung steuert das elektronische Pulsmodulationsventil (PMV) mit 1500 bzw. 2000 Schritten. Dies ermöglicht die lastabhängige Leistungsregelung und eine optimale Ausnutzung des Hochleistungswärmetauschers in allen Leistungsbereichen. Temperaturthermistoren für PID-Regelung: Rückluftsensor, Sensor zur Regelung der Überhitzung im Kühlbetrieb und zur Regelung der Unterkühlung im Heizbetrieb sowie Sensor zur Prozessoptimierung. Die Grundgerätefunktionen können wahlweise über Infrarotfernbedienung, Kabelfernbedienung, Zentralfernbedienung oder Gebäudeleitsystem eingestellt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TU2C und TCC-Link und deren Zubehörproduktpalette.</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Nennkühlleistung</w:t>
      </w:r>
    </w:p>
    <w:p>
      <w:pPr/>
      <w:r>
        <w:rPr>
          <w:rFonts w:ascii="Arial" w:hAnsi="Arial" w:eastAsia="Arial" w:cs="Arial"/>
          <w:sz w:val="20"/>
          <w:szCs w:val="20"/>
        </w:rPr>
        <w:t xml:space="preserve">1.7 kW</w:t>
      </w:r>
    </w:p>
    <w:p/>
    <w:p>
      <w:pPr/>
      <w:r>
        <w:rPr>
          <w:rFonts w:ascii="Arial" w:hAnsi="Arial" w:eastAsia="Arial" w:cs="Arial"/>
          <w:sz w:val="20"/>
          <w:szCs w:val="20"/>
        </w:rPr>
        <w:t xml:space="preserve">Nennheizleistung</w:t>
      </w:r>
    </w:p>
    <w:p>
      <w:pPr/>
      <w:r>
        <w:rPr>
          <w:rFonts w:ascii="Arial" w:hAnsi="Arial" w:eastAsia="Arial" w:cs="Arial"/>
          <w:sz w:val="20"/>
          <w:szCs w:val="20"/>
        </w:rPr>
        <w:t xml:space="preserve">1.9 kW</w:t>
      </w:r>
    </w:p>
    <w:p/>
    <w:p>
      <w:pPr/>
      <w:r>
        <w:rPr>
          <w:rFonts w:ascii="Arial" w:hAnsi="Arial" w:eastAsia="Arial" w:cs="Arial"/>
          <w:sz w:val="20"/>
          <w:szCs w:val="20"/>
        </w:rPr>
        <w:t xml:space="preserve">Leistungscode</w:t>
      </w:r>
    </w:p>
    <w:p>
      <w:pPr/>
      <w:r>
        <w:rPr>
          <w:rFonts w:ascii="Arial" w:hAnsi="Arial" w:eastAsia="Arial" w:cs="Arial"/>
          <w:sz w:val="20"/>
          <w:szCs w:val="20"/>
        </w:rPr>
        <w:t xml:space="preserve">0.6</w:t>
      </w:r>
    </w:p>
    <w:p/>
    <w:p>
      <w:pPr/>
      <w:r>
        <w:rPr>
          <w:rFonts w:ascii="Arial" w:hAnsi="Arial" w:eastAsia="Arial" w:cs="Arial"/>
          <w:sz w:val="20"/>
          <w:szCs w:val="20"/>
        </w:rPr>
        <w:t xml:space="preserve">Stromversorgung</w:t>
      </w:r>
    </w:p>
    <w:p>
      <w:pPr/>
      <w:r>
        <w:rPr>
          <w:rFonts w:ascii="Arial" w:hAnsi="Arial" w:eastAsia="Arial" w:cs="Arial"/>
          <w:sz w:val="20"/>
          <w:szCs w:val="20"/>
        </w:rPr>
        <w:t xml:space="preserve">230-1-50 (Spannungsbereich 220-240 V) - Stromversorgung nur zum Innengerät V-Ph-Hz</w:t>
      </w:r>
    </w:p>
    <w:p/>
    <w:p>
      <w:pPr/>
      <w:r>
        <w:rPr>
          <w:rFonts w:ascii="Arial" w:hAnsi="Arial" w:eastAsia="Arial" w:cs="Arial"/>
          <w:sz w:val="20"/>
          <w:szCs w:val="20"/>
        </w:rPr>
        <w:t xml:space="preserve">Betriebsstrom</w:t>
      </w:r>
    </w:p>
    <w:p>
      <w:pPr/>
      <w:r>
        <w:rPr>
          <w:rFonts w:ascii="Arial" w:hAnsi="Arial" w:eastAsia="Arial" w:cs="Arial"/>
          <w:sz w:val="20"/>
          <w:szCs w:val="20"/>
        </w:rPr>
        <w:t xml:space="preserve">0.15 A</w:t>
      </w:r>
    </w:p>
    <w:p/>
    <w:p>
      <w:pPr/>
      <w:r>
        <w:rPr>
          <w:rFonts w:ascii="Arial" w:hAnsi="Arial" w:eastAsia="Arial" w:cs="Arial"/>
          <w:sz w:val="20"/>
          <w:szCs w:val="20"/>
        </w:rPr>
        <w:t xml:space="preserve">Leistungsaufnahme</w:t>
      </w:r>
    </w:p>
    <w:p>
      <w:pPr/>
      <w:r>
        <w:rPr>
          <w:rFonts w:ascii="Arial" w:hAnsi="Arial" w:eastAsia="Arial" w:cs="Arial"/>
          <w:sz w:val="20"/>
          <w:szCs w:val="20"/>
        </w:rPr>
        <w:t xml:space="preserve">0.015 kW</w:t>
      </w:r>
    </w:p>
    <w:p/>
    <w:p>
      <w:pPr/>
      <w:r>
        <w:rPr>
          <w:rFonts w:ascii="Arial" w:hAnsi="Arial" w:eastAsia="Arial" w:cs="Arial"/>
          <w:sz w:val="20"/>
          <w:szCs w:val="20"/>
        </w:rPr>
        <w:t xml:space="preserve">Anlaufstrom</w:t>
      </w:r>
    </w:p>
    <w:p>
      <w:pPr/>
      <w:r>
        <w:rPr>
          <w:rFonts w:ascii="Arial" w:hAnsi="Arial" w:eastAsia="Arial" w:cs="Arial"/>
          <w:sz w:val="20"/>
          <w:szCs w:val="20"/>
        </w:rPr>
        <w:t xml:space="preserve">0.19 A</w:t>
      </w:r>
    </w:p>
    <w:p/>
    <w:p>
      <w:pPr/>
      <w:r>
        <w:rPr>
          <w:rFonts w:ascii="Arial" w:hAnsi="Arial" w:eastAsia="Arial" w:cs="Arial"/>
          <w:sz w:val="20"/>
          <w:szCs w:val="20"/>
        </w:rPr>
        <w:t xml:space="preserve">Gehäusefarbe</w:t>
      </w:r>
    </w:p>
    <w:p>
      <w:pPr/>
      <w:r>
        <w:rPr>
          <w:rFonts w:ascii="Arial" w:hAnsi="Arial" w:eastAsia="Arial" w:cs="Arial"/>
          <w:sz w:val="20"/>
          <w:szCs w:val="20"/>
        </w:rPr>
        <w:t xml:space="preserve">Mondweiß (Munsell / 2,5GY 9,0/0,5)</w:t>
      </w:r>
    </w:p>
    <w:p/>
    <w:p>
      <w:pPr/>
      <w:r>
        <w:rPr>
          <w:rFonts w:ascii="Arial" w:hAnsi="Arial" w:eastAsia="Arial" w:cs="Arial"/>
          <w:sz w:val="20"/>
          <w:szCs w:val="20"/>
        </w:rPr>
        <w:t xml:space="preserve">Höhe</w:t>
      </w:r>
    </w:p>
    <w:p>
      <w:pPr/>
      <w:r>
        <w:rPr>
          <w:rFonts w:ascii="Arial" w:hAnsi="Arial" w:eastAsia="Arial" w:cs="Arial"/>
          <w:sz w:val="20"/>
          <w:szCs w:val="20"/>
        </w:rPr>
        <w:t xml:space="preserve">293 mm</w:t>
      </w:r>
    </w:p>
    <w:p/>
    <w:p>
      <w:pPr/>
      <w:r>
        <w:rPr>
          <w:rFonts w:ascii="Arial" w:hAnsi="Arial" w:eastAsia="Arial" w:cs="Arial"/>
          <w:sz w:val="20"/>
          <w:szCs w:val="20"/>
        </w:rPr>
        <w:t xml:space="preserve">Breite</w:t>
      </w:r>
    </w:p>
    <w:p>
      <w:pPr/>
      <w:r>
        <w:rPr>
          <w:rFonts w:ascii="Arial" w:hAnsi="Arial" w:eastAsia="Arial" w:cs="Arial"/>
          <w:sz w:val="20"/>
          <w:szCs w:val="20"/>
        </w:rPr>
        <w:t xml:space="preserve">798 mm</w:t>
      </w:r>
    </w:p>
    <w:p/>
    <w:p>
      <w:pPr/>
      <w:r>
        <w:rPr>
          <w:rFonts w:ascii="Arial" w:hAnsi="Arial" w:eastAsia="Arial" w:cs="Arial"/>
          <w:sz w:val="20"/>
          <w:szCs w:val="20"/>
        </w:rPr>
        <w:t xml:space="preserve">Tiefe</w:t>
      </w:r>
    </w:p>
    <w:p>
      <w:pPr/>
      <w:r>
        <w:rPr>
          <w:rFonts w:ascii="Arial" w:hAnsi="Arial" w:eastAsia="Arial" w:cs="Arial"/>
          <w:sz w:val="20"/>
          <w:szCs w:val="20"/>
        </w:rPr>
        <w:t xml:space="preserve">230 mm</w:t>
      </w:r>
    </w:p>
    <w:p/>
    <w:p>
      <w:pPr/>
      <w:r>
        <w:rPr>
          <w:rFonts w:ascii="Arial" w:hAnsi="Arial" w:eastAsia="Arial" w:cs="Arial"/>
          <w:sz w:val="20"/>
          <w:szCs w:val="20"/>
        </w:rPr>
        <w:t xml:space="preserve">Gerätegewicht</w:t>
      </w:r>
    </w:p>
    <w:p>
      <w:pPr/>
      <w:r>
        <w:rPr>
          <w:rFonts w:ascii="Arial" w:hAnsi="Arial" w:eastAsia="Arial" w:cs="Arial"/>
          <w:sz w:val="20"/>
          <w:szCs w:val="20"/>
        </w:rPr>
        <w:t xml:space="preserve">11 kg</w:t>
      </w:r>
    </w:p>
    <w:p/>
    <w:p>
      <w:pPr/>
      <w:r>
        <w:rPr>
          <w:rFonts w:ascii="Arial" w:hAnsi="Arial" w:eastAsia="Arial" w:cs="Arial"/>
          <w:sz w:val="20"/>
          <w:szCs w:val="20"/>
        </w:rPr>
        <w:t xml:space="preserve">Wärmeaustauscher</w:t>
      </w:r>
    </w:p>
    <w:p>
      <w:pPr/>
      <w:r>
        <w:rPr>
          <w:rFonts w:ascii="Arial" w:hAnsi="Arial" w:eastAsia="Arial" w:cs="Arial"/>
          <w:sz w:val="20"/>
          <w:szCs w:val="20"/>
        </w:rPr>
        <w:t xml:space="preserve">Beripptes Rohr</w:t>
      </w:r>
    </w:p>
    <w:p/>
    <w:p>
      <w:pPr/>
      <w:r>
        <w:rPr>
          <w:rFonts w:ascii="Arial" w:hAnsi="Arial" w:eastAsia="Arial" w:cs="Arial"/>
          <w:sz w:val="20"/>
          <w:szCs w:val="20"/>
        </w:rPr>
        <w:t xml:space="preserve">Schalldämmung / Wärmeisoliermaterial</w:t>
      </w:r>
    </w:p>
    <w:p>
      <w:pPr/>
      <w:r>
        <w:rPr>
          <w:rFonts w:ascii="Arial" w:hAnsi="Arial" w:eastAsia="Arial" w:cs="Arial"/>
          <w:sz w:val="20"/>
          <w:szCs w:val="20"/>
        </w:rPr>
        <w:t xml:space="preserve">Nicht entflammbare Isolierung</w:t>
      </w:r>
    </w:p>
    <w:p/>
    <w:p>
      <w:pPr/>
      <w:r>
        <w:rPr>
          <w:rFonts w:ascii="Arial" w:hAnsi="Arial" w:eastAsia="Arial" w:cs="Arial"/>
          <w:sz w:val="20"/>
          <w:szCs w:val="20"/>
        </w:rPr>
        <w:t xml:space="preserve">Ventilatortyp</w:t>
      </w:r>
    </w:p>
    <w:p>
      <w:pPr/>
      <w:r>
        <w:rPr>
          <w:rFonts w:ascii="Arial" w:hAnsi="Arial" w:eastAsia="Arial" w:cs="Arial"/>
          <w:sz w:val="20"/>
          <w:szCs w:val="20"/>
        </w:rPr>
        <w:t xml:space="preserve">Querstromventilator</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126 l/s</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75 l/s</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103 l/s</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455 m³/h</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270 m³/h</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370 m³/h</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48/44/40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33/29/25 dB(A)</w:t>
      </w:r>
    </w:p>
    <w:p/>
    <w:p>
      <w:pPr/>
      <w:r>
        <w:rPr>
          <w:rFonts w:ascii="Arial" w:hAnsi="Arial" w:eastAsia="Arial" w:cs="Arial"/>
          <w:sz w:val="20"/>
          <w:szCs w:val="20"/>
        </w:rPr>
        <w:t xml:space="preserve">Luftfilter</w:t>
      </w:r>
    </w:p>
    <w:p>
      <w:pPr/>
      <w:r>
        <w:rPr>
          <w:rFonts w:ascii="Arial" w:hAnsi="Arial" w:eastAsia="Arial" w:cs="Arial"/>
          <w:sz w:val="20"/>
          <w:szCs w:val="20"/>
        </w:rPr>
        <w:t xml:space="preserve">Standard-Langzeitfilter mitgeliefert</w:t>
      </w:r>
    </w:p>
    <w:p/>
    <w:p>
      <w:pPr/>
      <w:r>
        <w:rPr>
          <w:rFonts w:ascii="Arial" w:hAnsi="Arial" w:eastAsia="Arial" w:cs="Arial"/>
          <w:sz w:val="20"/>
          <w:szCs w:val="20"/>
        </w:rPr>
        <w:t xml:space="preserve">Regler</w:t>
      </w:r>
    </w:p>
    <w:p>
      <w:pPr/>
      <w:r>
        <w:rPr>
          <w:rFonts w:ascii="Arial" w:hAnsi="Arial" w:eastAsia="Arial" w:cs="Arial"/>
          <w:sz w:val="20"/>
          <w:szCs w:val="20"/>
        </w:rPr>
        <w:t xml:space="preserve">IR-Fernbedienung WH-TA09NE im Lieferumfang enthalten</w:t>
      </w:r>
    </w:p>
    <w:p/>
    <w:p>
      <w:pPr/>
      <w:r>
        <w:rPr>
          <w:rFonts w:ascii="Arial" w:hAnsi="Arial" w:eastAsia="Arial" w:cs="Arial"/>
          <w:sz w:val="20"/>
          <w:szCs w:val="20"/>
        </w:rPr>
        <w:t xml:space="preserve">Sauggasleitung</w:t>
      </w:r>
    </w:p>
    <w:p>
      <w:pPr/>
      <w:r>
        <w:rPr>
          <w:rFonts w:ascii="Arial" w:hAnsi="Arial" w:eastAsia="Arial" w:cs="Arial"/>
          <w:sz w:val="20"/>
          <w:szCs w:val="20"/>
        </w:rPr>
        <w:t xml:space="preserve">(Anschluss-Ø)</w:t>
      </w:r>
    </w:p>
    <w:p>
      <w:pPr/>
      <w:r>
        <w:rPr>
          <w:rFonts w:ascii="Arial" w:hAnsi="Arial" w:eastAsia="Arial" w:cs="Arial"/>
          <w:sz w:val="20"/>
          <w:szCs w:val="20"/>
        </w:rPr>
        <w:t xml:space="preserve">3/8 (9,5) inch (mm)</w:t>
      </w:r>
    </w:p>
    <w:p/>
    <w:p>
      <w:pPr/>
      <w:r>
        <w:rPr>
          <w:rFonts w:ascii="Arial" w:hAnsi="Arial" w:eastAsia="Arial" w:cs="Arial"/>
          <w:sz w:val="20"/>
          <w:szCs w:val="20"/>
        </w:rPr>
        <w:t xml:space="preserve">Flüssigkeitsleitung</w:t>
      </w:r>
    </w:p>
    <w:p>
      <w:pPr/>
      <w:r>
        <w:rPr>
          <w:rFonts w:ascii="Arial" w:hAnsi="Arial" w:eastAsia="Arial" w:cs="Arial"/>
          <w:sz w:val="20"/>
          <w:szCs w:val="20"/>
        </w:rPr>
        <w:t xml:space="preserve">(Anschluss-Ø)</w:t>
      </w:r>
    </w:p>
    <w:p>
      <w:pPr/>
      <w:r>
        <w:rPr>
          <w:rFonts w:ascii="Arial" w:hAnsi="Arial" w:eastAsia="Arial" w:cs="Arial"/>
          <w:sz w:val="20"/>
          <w:szCs w:val="20"/>
        </w:rPr>
        <w:t xml:space="preserve">1/4 (6,4) inch (mm)</w:t>
      </w:r>
    </w:p>
    <w:p/>
    <w:p>
      <w:pPr/>
      <w:r>
        <w:rPr>
          <w:rFonts w:ascii="Arial" w:hAnsi="Arial" w:eastAsia="Arial" w:cs="Arial"/>
          <w:sz w:val="20"/>
          <w:szCs w:val="20"/>
        </w:rPr>
        <w:t xml:space="preserve">Ablaufanschluss, Nenn-Ø</w:t>
      </w:r>
    </w:p>
    <w:p>
      <w:pPr/>
      <w:r>
        <w:rPr>
          <w:rFonts w:ascii="Arial" w:hAnsi="Arial" w:eastAsia="Arial" w:cs="Arial"/>
          <w:sz w:val="20"/>
          <w:szCs w:val="20"/>
        </w:rPr>
        <w:t xml:space="preserve">(Polyvinylrohr)</w:t>
      </w:r>
    </w:p>
    <w:p>
      <w:pPr/>
      <w:r>
        <w:rPr>
          <w:rFonts w:ascii="Arial" w:hAnsi="Arial" w:eastAsia="Arial" w:cs="Arial"/>
          <w:sz w:val="20"/>
          <w:szCs w:val="20"/>
        </w:rPr>
        <w:t xml:space="preserve">16 mm</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17.10.2024 21:09:50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2024-10-17T19:09:50+00:00</dcterms:created>
  <dcterms:modified xsi:type="dcterms:W3CDTF">2024-10-17T19:09:50+00:00</dcterms:modified>
</cp:coreProperties>
</file>

<file path=docProps/custom.xml><?xml version="1.0" encoding="utf-8"?>
<Properties xmlns="http://schemas.openxmlformats.org/officeDocument/2006/custom-properties" xmlns:vt="http://schemas.openxmlformats.org/officeDocument/2006/docPropsVTypes"/>
</file>