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MML-UP0121NHP-E</w:t>
      </w:r>
    </w:p>
    <w:p>
      <w:pPr>
        <w:pStyle w:val="Heading1"/>
      </w:pPr>
      <w:bookmarkStart w:id="1" w:name="_Toc1"/>
      <w:r>
        <w:t>VRF Bi-Flow Konsolgerät  3,6/4,0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Standtruhengerät mit variablem Luftaustritt auf der Ober- und Unterseite des Gerätes. Sowohl im Heiz- wie im Kühlmodus ist die Luftführung unten und oder oben möglich. Im speziellen Supreme Heating Modus wird die Ausblastemperatur erhöht, während die Luftmenge reduziert wird. Damit wird ein besonders angenehmes Raumklima erzeugt. Dabei ist nur der untere Ausblas in Betrieb. Die Montage erfolgt über universelle Geräteaufhängung durch Montageplatte an der Wand. Die Leitungsanschlüsse erfolgen wahlweise nach hinten, seitlich oder nach oben. Das Gehäuse ist wärmegedämmt und mit einer doppelten Kunststoffkondensatwanne mit vormontiertem, wärmegedämmten Ablaufschlauch ausgestattet.</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3.6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4 kW</w:t>
      </w:r>
    </w:p>
    <w:p/>
    <w:p>
      <w:pPr/>
      <w:r>
        <w:rPr>
          <w:rFonts w:ascii="Arial" w:hAnsi="Arial" w:eastAsia="Arial" w:cs="Arial"/>
          <w:sz w:val="20"/>
          <w:szCs w:val="20"/>
        </w:rPr>
        <w:t xml:space="preserve">Leistungscode</w:t>
      </w:r>
    </w:p>
    <w:p>
      <w:pPr/>
      <w:r>
        <w:rPr>
          <w:rFonts w:ascii="Arial" w:hAnsi="Arial" w:eastAsia="Arial" w:cs="Arial"/>
          <w:sz w:val="20"/>
          <w:szCs w:val="20"/>
        </w:rPr>
        <w:t xml:space="preserve">1.25</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0.19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0.025 kW</w:t>
      </w:r>
    </w:p>
    <w:p/>
    <w:p>
      <w:pPr/>
      <w:r>
        <w:rPr>
          <w:rFonts w:ascii="Arial" w:hAnsi="Arial" w:eastAsia="Arial" w:cs="Arial"/>
          <w:sz w:val="20"/>
          <w:szCs w:val="20"/>
        </w:rPr>
        <w:t xml:space="preserve">Anlaufstrom</w:t>
      </w:r>
    </w:p>
    <w:p>
      <w:pPr/>
      <w:r>
        <w:rPr>
          <w:rFonts w:ascii="Arial" w:hAnsi="Arial" w:eastAsia="Arial" w:cs="Arial"/>
          <w:sz w:val="20"/>
          <w:szCs w:val="20"/>
        </w:rPr>
        <w:t xml:space="preserve">0.3 A</w:t>
      </w:r>
    </w:p>
    <w:p/>
    <w:p>
      <w:pPr/>
      <w:r>
        <w:rPr>
          <w:rFonts w:ascii="Arial" w:hAnsi="Arial" w:eastAsia="Arial" w:cs="Arial"/>
          <w:sz w:val="20"/>
          <w:szCs w:val="20"/>
        </w:rPr>
        <w:t xml:space="preserve">Gehäusefarbe</w:t>
      </w:r>
    </w:p>
    <w:p>
      <w:pPr/>
      <w:r>
        <w:rPr>
          <w:rFonts w:ascii="Arial" w:hAnsi="Arial" w:eastAsia="Arial" w:cs="Arial"/>
          <w:sz w:val="20"/>
          <w:szCs w:val="20"/>
        </w:rPr>
        <w:t xml:space="preserve">Mondweiß (Munsell / 2,5GY 9,0/0,5)</w:t>
      </w:r>
    </w:p>
    <w:p/>
    <w:p>
      <w:pPr/>
      <w:r>
        <w:rPr>
          <w:rFonts w:ascii="Arial" w:hAnsi="Arial" w:eastAsia="Arial" w:cs="Arial"/>
          <w:sz w:val="20"/>
          <w:szCs w:val="20"/>
        </w:rPr>
        <w:t xml:space="preserve">Höhe</w:t>
      </w:r>
    </w:p>
    <w:p>
      <w:pPr/>
      <w:r>
        <w:rPr>
          <w:rFonts w:ascii="Arial" w:hAnsi="Arial" w:eastAsia="Arial" w:cs="Arial"/>
          <w:sz w:val="20"/>
          <w:szCs w:val="20"/>
        </w:rPr>
        <w:t xml:space="preserve">600 mm</w:t>
      </w:r>
    </w:p>
    <w:p/>
    <w:p>
      <w:pPr/>
      <w:r>
        <w:rPr>
          <w:rFonts w:ascii="Arial" w:hAnsi="Arial" w:eastAsia="Arial" w:cs="Arial"/>
          <w:sz w:val="20"/>
          <w:szCs w:val="20"/>
        </w:rPr>
        <w:t xml:space="preserve">Breite</w:t>
      </w:r>
    </w:p>
    <w:p>
      <w:pPr/>
      <w:r>
        <w:rPr>
          <w:rFonts w:ascii="Arial" w:hAnsi="Arial" w:eastAsia="Arial" w:cs="Arial"/>
          <w:sz w:val="20"/>
          <w:szCs w:val="20"/>
        </w:rPr>
        <w:t xml:space="preserve">700 mm</w:t>
      </w:r>
    </w:p>
    <w:p/>
    <w:p>
      <w:pPr/>
      <w:r>
        <w:rPr>
          <w:rFonts w:ascii="Arial" w:hAnsi="Arial" w:eastAsia="Arial" w:cs="Arial"/>
          <w:sz w:val="20"/>
          <w:szCs w:val="20"/>
        </w:rPr>
        <w:t xml:space="preserve">Tiefe</w:t>
      </w:r>
    </w:p>
    <w:p>
      <w:pPr/>
      <w:r>
        <w:rPr>
          <w:rFonts w:ascii="Arial" w:hAnsi="Arial" w:eastAsia="Arial" w:cs="Arial"/>
          <w:sz w:val="20"/>
          <w:szCs w:val="20"/>
        </w:rPr>
        <w:t xml:space="preserve">220 mm</w:t>
      </w:r>
    </w:p>
    <w:p/>
    <w:p>
      <w:pPr/>
      <w:r>
        <w:rPr>
          <w:rFonts w:ascii="Arial" w:hAnsi="Arial" w:eastAsia="Arial" w:cs="Arial"/>
          <w:sz w:val="20"/>
          <w:szCs w:val="20"/>
        </w:rPr>
        <w:t xml:space="preserve">Gerätegewicht</w:t>
      </w:r>
    </w:p>
    <w:p>
      <w:pPr/>
      <w:r>
        <w:rPr>
          <w:rFonts w:ascii="Arial" w:hAnsi="Arial" w:eastAsia="Arial" w:cs="Arial"/>
          <w:sz w:val="20"/>
          <w:szCs w:val="20"/>
        </w:rPr>
        <w:t xml:space="preserve">17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153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90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113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552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324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408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55/49/44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40/34/29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16 mm</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TCB-PF1281D-E</w:t>
      </w:r>
    </w:p>
    <w:p>
      <w:pPr/>
      <w:r>
        <w:rPr>
          <w:rFonts w:ascii="Arial" w:hAnsi="Arial" w:eastAsia="Arial" w:cs="Arial"/>
          <w:sz w:val="20"/>
          <w:szCs w:val="20"/>
        </w:rPr>
        <w:t xml:space="preserve">Langzeit-Vorfilter</w:t>
      </w:r>
    </w:p>
    <w:p>
      <w:pPr/>
      <w:r>
        <w:rPr>
          <w:rFonts w:ascii="Arial" w:hAnsi="Arial" w:eastAsia="Arial" w:cs="Arial"/>
          <w:sz w:val="20"/>
          <w:szCs w:val="20"/>
        </w:rPr>
        <w:t xml:space="preserve">(Kombi)</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TCB-CKC1F-E</w:t>
      </w:r>
    </w:p>
    <w:p>
      <w:pPr/>
      <w:r>
        <w:rPr>
          <w:rFonts w:ascii="Arial" w:hAnsi="Arial" w:eastAsia="Arial" w:cs="Arial"/>
          <w:sz w:val="20"/>
          <w:szCs w:val="20"/>
        </w:rPr>
        <w:t xml:space="preserve">Blinddeckel Fernbedienung Standg.</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23:06:56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2024-09-07T21:06:56+00:00</dcterms:created>
  <dcterms:modified xsi:type="dcterms:W3CDTF">2024-09-07T21:06:56+00:00</dcterms:modified>
</cp:coreProperties>
</file>

<file path=docProps/custom.xml><?xml version="1.0" encoding="utf-8"?>
<Properties xmlns="http://schemas.openxmlformats.org/officeDocument/2006/custom-properties" xmlns:vt="http://schemas.openxmlformats.org/officeDocument/2006/docPropsVTypes"/>
</file>