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HWT-1101XWHM3W-E</w:t>
      </w:r>
    </w:p>
    <w:p>
      <w:pPr>
        <w:pStyle w:val="Heading1"/>
      </w:pPr>
      <w:bookmarkStart w:id="1" w:name="_Toc1"/>
      <w:r>
        <w:t>Hydrobox +3 kW Elektroh. f. AG 801-1101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Kompatibel mit Außengerät</w:t>
      </w:r>
    </w:p>
    <w:p>
      <w:pPr/>
      <w:r>
        <w:rPr>
          <w:rFonts w:ascii="Arial" w:hAnsi="Arial" w:eastAsia="Arial" w:cs="Arial"/>
          <w:sz w:val="20"/>
          <w:szCs w:val="20"/>
        </w:rPr>
        <w:t xml:space="preserve">801 und 1101</w:t>
      </w:r>
    </w:p>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65 °C</w:t>
      </w:r>
    </w:p>
    <w:p/>
    <w:p>
      <w:pPr/>
      <w:r>
        <w:rPr>
          <w:rFonts w:ascii="Arial" w:hAnsi="Arial" w:eastAsia="Arial" w:cs="Arial"/>
          <w:sz w:val="20"/>
          <w:szCs w:val="20"/>
        </w:rPr>
        <w:t xml:space="preserve">Max. Temperatur Anti-Legionellen-Progr.*</w:t>
      </w:r>
    </w:p>
    <w:p>
      <w:pPr/>
      <w:r>
        <w:rPr>
          <w:rFonts w:ascii="Arial" w:hAnsi="Arial" w:eastAsia="Arial" w:cs="Arial"/>
          <w:sz w:val="20"/>
          <w:szCs w:val="20"/>
        </w:rPr>
        <w:t xml:space="preserve">80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3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220~240-1-50 V-ph-Hz</w:t>
      </w:r>
    </w:p>
    <w:p/>
    <w:p>
      <w:pPr/>
      <w:r>
        <w:rPr>
          <w:rFonts w:ascii="Arial" w:hAnsi="Arial" w:eastAsia="Arial" w:cs="Arial"/>
          <w:sz w:val="20"/>
          <w:szCs w:val="20"/>
        </w:rPr>
        <w:t xml:space="preserve">Max. Betriebsstrom</w:t>
      </w:r>
    </w:p>
    <w:p>
      <w:pPr/>
      <w:r>
        <w:rPr>
          <w:rFonts w:ascii="Arial" w:hAnsi="Arial" w:eastAsia="Arial" w:cs="Arial"/>
          <w:sz w:val="20"/>
          <w:szCs w:val="20"/>
        </w:rPr>
        <w:t xml:space="preserve">1x13 A</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HWS-AMSU51-E</w:t>
      </w:r>
    </w:p>
    <w:p>
      <w:pPr/>
      <w:r>
        <w:rPr>
          <w:rFonts w:ascii="Arial" w:hAnsi="Arial" w:eastAsia="Arial" w:cs="Arial"/>
          <w:sz w:val="20"/>
          <w:szCs w:val="20"/>
        </w:rPr>
        <w:t xml:space="preserve">Estia Kabelfernbedienung</w:t>
      </w:r>
    </w:p>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2024-09-07T21:00:45+00:00</dcterms:created>
  <dcterms:modified xsi:type="dcterms:W3CDTF">2024-09-07T21:00:45+00:00</dcterms:modified>
</cp:coreProperties>
</file>

<file path=docProps/custom.xml><?xml version="1.0" encoding="utf-8"?>
<Properties xmlns="http://schemas.openxmlformats.org/officeDocument/2006/custom-properties" xmlns:vt="http://schemas.openxmlformats.org/officeDocument/2006/docPropsVTypes"/>
</file>