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RAV-HM901FT-E</w:t>
      </w:r>
    </w:p>
    <w:p>
      <w:pPr>
        <w:pStyle w:val="Heading1"/>
      </w:pPr>
      <w:bookmarkStart w:id="1" w:name="_Toc1"/>
      <w:r>
        <w:t>Schrankstandgerät 8,0/8,6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im unteren Bereich-, Luftausblas im oberen Bereich der Geräte-Stirnseite. Der herausnehmbare, regenerierbare Luftfilter ist durch das leicht zu öffnende Luftansauggitter zugänglich. Die Weitwinkel-Luftleitlamellen sind manuell horizontal und vertikal verstellbar. Ein vertikaler Swing-Betrieb ist über eine optionale Kabelfernbedienung RBC-AMSU51E-ES möglich.  Es besteht die Möglichkeit die Kältemittelleitungen variabel an das Gerät heranzuführen. Nach Öffnen des Gehäuses sind die Elektronik und alle wichtigen Einbauteile des Gerätes leicht zugänglich. Die Gerätemontage erfolgt über Trägerwinkel an der Wand bzw. auf dem Boden. </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Hochleistungswärmetauscher garantiert durch seine kompakte Bauart einen sehr geringen Kältemittelinhalt. Speziell profilierte Aluminiumlamellen sorgen für eine hohe Energieeffizienz.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Das Innengerät verfügt über ein Leckagen-Erkennungs-System. Das System wird bei Betrieb mit Kältemittel R32 aktiviert. Der Sensor arbeitet mit zwei unterschiedlichen Eskalationsstufen 5000 ppm / 10000 ppm, in beiden Stufen wird der Ventilator zur Raumdurchlüftung für 250 min. zugeschaltet. In Stufe 1 (5000 ppm) kann der Sensor zurückgestellt werden, in Stufe 2 (10000 ppm) muss der Sensor ausgetauscht werden. Der Sensor hat eine Laufzeit von ca. 7 Jahren (je nach Betriebszeiten).</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1330/820 - 368/228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51/41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65/55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1330/820 - 368/228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51/41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65/55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1750 x 600 x 210 mm</w:t>
      </w:r>
    </w:p>
    <w:p/>
    <w:p>
      <w:pPr/>
      <w:r>
        <w:rPr>
          <w:rFonts w:ascii="Arial" w:hAnsi="Arial" w:eastAsia="Arial" w:cs="Arial"/>
          <w:sz w:val="20"/>
          <w:szCs w:val="20"/>
        </w:rPr>
        <w:t xml:space="preserve">Gewicht</w:t>
      </w:r>
    </w:p>
    <w:p>
      <w:pPr/>
      <w:r>
        <w:rPr>
          <w:rFonts w:ascii="Arial" w:hAnsi="Arial" w:eastAsia="Arial" w:cs="Arial"/>
          <w:sz w:val="20"/>
          <w:szCs w:val="20"/>
        </w:rPr>
        <w:t xml:space="preserve">59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21:03:47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2024-10-17T19:03:47+00:00</dcterms:created>
  <dcterms:modified xsi:type="dcterms:W3CDTF">2024-10-17T19:03:47+00:00</dcterms:modified>
</cp:coreProperties>
</file>

<file path=docProps/custom.xml><?xml version="1.0" encoding="utf-8"?>
<Properties xmlns="http://schemas.openxmlformats.org/officeDocument/2006/custom-properties" xmlns:vt="http://schemas.openxmlformats.org/officeDocument/2006/docPropsVTypes"/>
</file>