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HWT-1101HRW-E</w:t>
      </w:r>
    </w:p>
    <w:p>
      <w:pPr>
        <w:pStyle w:val="Heading1"/>
      </w:pPr>
      <w:bookmarkStart w:id="1" w:name="_Toc1"/>
      <w:r>
        <w:t>Estia Außeng. 230V+ Bodenh. R32 11,0 kW</w:t>
      </w:r>
      <w:bookmarkEnd w:id="1"/>
    </w:p>
    <w:p/>
    <w:p>
      <w:pPr/>
      <w:r>
        <w:rPr>
          <w:rFonts w:ascii="Arial" w:hAnsi="Arial" w:eastAsia="Arial" w:cs="Arial"/>
          <w:sz w:val="20"/>
          <w:szCs w:val="20"/>
        </w:rPr>
        <w:t xml:space="preserve">Die neue, attraktive, kompakte, Inverter-Wärmepumpe besteht aus einem wetterfesten Gehäuse mit einem Kunststoff-Ausblasgrill. Das dauerhafte Finish hält extremen klimatischen Bedingungen und atmosphärischen Verunreinigungen stand. Durch neueste Technologien bei der Komponentenfertigung wurden einerseits die Geräteabmessungen und das Gewicht reduziert und andererseits die Energieeffizienz erheblich gesteigert. Das Außengerät wurde speziell für die Estia Baureihe mit Kältemittel R 32 konzipiert und besticht durch seinen hervorragenden Wirkungsgrad. Der Inverter ermöglicht eine bedarfsabhängige Drehzahlregulierung des Verdichters, wodurch der Betrieb optimiert wird und die Betriebskosten speziell im Teillastbereich erheblich gesenkt werden.  Durch ein Umkehrventil lässt sich das Außengerät sowohl als Wärmepumpe, als auch als Kühlgerät nutzen. Das robuste und schwingungsarm laufende Außengerät benötigt aufgrund seiner Bauform nur eine kleine Stellfläche.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der neuesten Generation mit eco-drive garantiert äußerst leisen Betrieb und minimalen Stromverbrauch im Teillastbereich durch reduzierte Drehzahl bis minimal 10 Hz.</w:t>
      </w:r>
    </w:p>
    <w:p>
      <w:pPr/>
      <w:r>
        <w:rPr>
          <w:rFonts w:ascii="Arial" w:hAnsi="Arial" w:eastAsia="Arial" w:cs="Arial"/>
          <w:sz w:val="20"/>
          <w:szCs w:val="20"/>
        </w:rPr>
        <w:t xml:space="preserve"/>
      </w:r>
    </w:p>
    <w:p>
      <w:pPr/>
      <w:r>
        <w:rPr>
          <w:rFonts w:ascii="Arial" w:hAnsi="Arial" w:eastAsia="Arial" w:cs="Arial"/>
          <w:sz w:val="20"/>
          <w:szCs w:val="20"/>
        </w:rPr>
        <w:t xml:space="preserve">LUFTGEKÜHLTER WÄRMETAUSCHER</w:t>
      </w:r>
    </w:p>
    <w:p>
      <w:pPr/>
      <w:r>
        <w:rPr>
          <w:rFonts w:ascii="Arial" w:hAnsi="Arial" w:eastAsia="Arial" w:cs="Arial"/>
          <w:sz w:val="20"/>
          <w:szCs w:val="20"/>
        </w:rPr>
        <w:t xml:space="preserve">Der nach neuesten Techniken für Kältemittel R 32 konzipierte und optimierte großflächige, luftgekühlte Wärmetauscher besteht aus Kupferrohr mit aufgewalzten Aluminiumrippen und ist L-förmig angeordnet. Ein Ablauf für Kondenswasser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direktangetriebener, schwingungsarm gelagerter, statisch und dynamisch gewuchteter, drehzahlgeregelter Gleichstrom Axialventilator mit neuem vergrößertem Lüfterrad und strömungsoptimierten Ventilatorgitter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elektronische Kältemitteleinspritzung erfolgt über ein Pulsmodulationsventil im Außengerät. 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Sensorik zur Regelung der Unterkühlung im Heizbetrieb bzw. zur Regelung der Überhitzung im Kühlbetrieb.</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1050x1010x370 mm</w:t>
      </w:r>
    </w:p>
    <w:p/>
    <w:p>
      <w:pPr/>
      <w:r>
        <w:rPr>
          <w:rFonts w:ascii="Arial" w:hAnsi="Arial" w:eastAsia="Arial" w:cs="Arial"/>
          <w:sz w:val="20"/>
          <w:szCs w:val="20"/>
        </w:rPr>
        <w:t xml:space="preserve">Gewicht</w:t>
      </w:r>
    </w:p>
    <w:p>
      <w:pPr/>
      <w:r>
        <w:rPr>
          <w:rFonts w:ascii="Arial" w:hAnsi="Arial" w:eastAsia="Arial" w:cs="Arial"/>
          <w:sz w:val="20"/>
          <w:szCs w:val="20"/>
        </w:rPr>
        <w:t xml:space="preserve">75 kg</w:t>
      </w:r>
    </w:p>
    <w:p/>
    <w:p>
      <w:pPr/>
      <w:r>
        <w:rPr>
          <w:rFonts w:ascii="Arial" w:hAnsi="Arial" w:eastAsia="Arial" w:cs="Arial"/>
          <w:sz w:val="20"/>
          <w:szCs w:val="20"/>
        </w:rPr>
        <w:t xml:space="preserve">Schallleistung H/C</w:t>
      </w:r>
    </w:p>
    <w:p>
      <w:pPr/>
      <w:r>
        <w:rPr>
          <w:rFonts w:ascii="Arial" w:hAnsi="Arial" w:eastAsia="Arial" w:cs="Arial"/>
          <w:sz w:val="20"/>
          <w:szCs w:val="20"/>
        </w:rPr>
        <w:t xml:space="preserve">(Silent Mode)</w:t>
      </w:r>
    </w:p>
    <w:p>
      <w:pPr/>
      <w:r>
        <w:rPr>
          <w:rFonts w:ascii="Arial" w:hAnsi="Arial" w:eastAsia="Arial" w:cs="Arial"/>
          <w:sz w:val="20"/>
          <w:szCs w:val="20"/>
        </w:rPr>
        <w:t xml:space="preserve">62/60 dB(A)</w:t>
      </w:r>
    </w:p>
    <w:p/>
    <w:p>
      <w:pPr/>
      <w:r>
        <w:rPr>
          <w:rFonts w:ascii="Arial" w:hAnsi="Arial" w:eastAsia="Arial" w:cs="Arial"/>
          <w:sz w:val="20"/>
          <w:szCs w:val="20"/>
        </w:rPr>
        <w:t xml:space="preserve">Schallleistung H</w:t>
      </w:r>
    </w:p>
    <w:p>
      <w:pPr/>
      <w:r>
        <w:rPr>
          <w:rFonts w:ascii="Arial" w:hAnsi="Arial" w:eastAsia="Arial" w:cs="Arial"/>
          <w:sz w:val="20"/>
          <w:szCs w:val="20"/>
        </w:rPr>
        <w:t xml:space="preserve">(Point C/Label)</w:t>
      </w:r>
    </w:p>
    <w:p>
      <w:pPr/>
      <w:r>
        <w:rPr>
          <w:rFonts w:ascii="Arial" w:hAnsi="Arial" w:eastAsia="Arial" w:cs="Arial"/>
          <w:sz w:val="20"/>
          <w:szCs w:val="20"/>
        </w:rPr>
        <w:t xml:space="preserve">60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(auf 1m)</w:t>
      </w:r>
    </w:p>
    <w:p>
      <w:pPr/>
      <w:r>
        <w:rPr>
          <w:rFonts w:ascii="Arial" w:hAnsi="Arial" w:eastAsia="Arial" w:cs="Arial"/>
          <w:sz w:val="20"/>
          <w:szCs w:val="20"/>
        </w:rPr>
        <w:t xml:space="preserve">51/51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(Silent Mode)</w:t>
      </w:r>
    </w:p>
    <w:p>
      <w:pPr/>
      <w:r>
        <w:rPr>
          <w:rFonts w:ascii="Arial" w:hAnsi="Arial" w:eastAsia="Arial" w:cs="Arial"/>
          <w:sz w:val="20"/>
          <w:szCs w:val="20"/>
        </w:rPr>
        <w:t xml:space="preserve">(auf 1m)</w:t>
      </w:r>
    </w:p>
    <w:p>
      <w:pPr/>
      <w:r>
        <w:rPr>
          <w:rFonts w:ascii="Arial" w:hAnsi="Arial" w:eastAsia="Arial" w:cs="Arial"/>
          <w:sz w:val="20"/>
          <w:szCs w:val="20"/>
        </w:rPr>
        <w:t xml:space="preserve">49/47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(auf 5m)</w:t>
      </w:r>
    </w:p>
    <w:p>
      <w:pPr/>
      <w:r>
        <w:rPr>
          <w:rFonts w:ascii="Arial" w:hAnsi="Arial" w:eastAsia="Arial" w:cs="Arial"/>
          <w:sz w:val="20"/>
          <w:szCs w:val="20"/>
        </w:rPr>
        <w:t xml:space="preserve">37/37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(Silent Mode)</w:t>
      </w:r>
    </w:p>
    <w:p>
      <w:pPr/>
      <w:r>
        <w:rPr>
          <w:rFonts w:ascii="Arial" w:hAnsi="Arial" w:eastAsia="Arial" w:cs="Arial"/>
          <w:sz w:val="20"/>
          <w:szCs w:val="20"/>
        </w:rPr>
        <w:t xml:space="preserve">(auf 5m)</w:t>
      </w:r>
    </w:p>
    <w:p>
      <w:pPr/>
      <w:r>
        <w:rPr>
          <w:rFonts w:ascii="Arial" w:hAnsi="Arial" w:eastAsia="Arial" w:cs="Arial"/>
          <w:sz w:val="20"/>
          <w:szCs w:val="20"/>
        </w:rPr>
        <w:t xml:space="preserve">35/33 dB(A)</w:t>
      </w:r>
    </w:p>
    <w:p/>
    <w:p>
      <w:pPr/>
      <w:r>
        <w:rPr>
          <w:rFonts w:ascii="Arial" w:hAnsi="Arial" w:eastAsia="Arial" w:cs="Arial"/>
          <w:sz w:val="20"/>
          <w:szCs w:val="20"/>
        </w:rPr>
        <w:t xml:space="preserve">Kompressortyp</w:t>
      </w:r>
    </w:p>
    <w:p>
      <w:pPr/>
      <w:r>
        <w:rPr>
          <w:rFonts w:ascii="Arial" w:hAnsi="Arial" w:eastAsia="Arial" w:cs="Arial"/>
          <w:sz w:val="20"/>
          <w:szCs w:val="20"/>
        </w:rPr>
        <w:t xml:space="preserve">DC Twin rotary w/injection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1.3 kg</w:t>
      </w:r>
    </w:p>
    <w:p/>
    <w:p>
      <w:pPr/>
      <w:r>
        <w:rPr>
          <w:rFonts w:ascii="Arial" w:hAnsi="Arial" w:eastAsia="Arial" w:cs="Arial"/>
          <w:sz w:val="20"/>
          <w:szCs w:val="20"/>
        </w:rPr>
        <w:t xml:space="preserve">Bördelanschlüsse Flüssigkeitsleitung</w:t>
      </w:r>
    </w:p>
    <w:p>
      <w:pPr/>
      <w:r>
        <w:rPr>
          <w:rFonts w:ascii="Arial" w:hAnsi="Arial" w:eastAsia="Arial" w:cs="Arial"/>
          <w:sz w:val="20"/>
          <w:szCs w:val="20"/>
        </w:rPr>
        <w:t xml:space="preserve">6.4 mm</w:t>
      </w:r>
    </w:p>
    <w:p/>
    <w:p>
      <w:pPr/>
      <w:r>
        <w:rPr>
          <w:rFonts w:ascii="Arial" w:hAnsi="Arial" w:eastAsia="Arial" w:cs="Arial"/>
          <w:sz w:val="20"/>
          <w:szCs w:val="20"/>
        </w:rPr>
        <w:t xml:space="preserve">Bördelanschlüsse Gasleitung</w:t>
      </w:r>
    </w:p>
    <w:p>
      <w:pPr/>
      <w:r>
        <w:rPr>
          <w:rFonts w:ascii="Arial" w:hAnsi="Arial" w:eastAsia="Arial" w:cs="Arial"/>
          <w:sz w:val="20"/>
          <w:szCs w:val="20"/>
        </w:rPr>
        <w:t xml:space="preserve">15.9 mm</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Maximaler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8 m</w:t>
      </w:r>
    </w:p>
    <w:p/>
    <w:p>
      <w:pPr/>
      <w:r>
        <w:rPr>
          <w:rFonts w:ascii="Arial" w:hAnsi="Arial" w:eastAsia="Arial" w:cs="Arial"/>
          <w:sz w:val="20"/>
          <w:szCs w:val="20"/>
        </w:rPr>
        <w:t xml:space="preserve">Betriebsbereich Heizen</w:t>
      </w:r>
    </w:p>
    <w:p>
      <w:pPr/>
      <w:r>
        <w:rPr>
          <w:rFonts w:ascii="Arial" w:hAnsi="Arial" w:eastAsia="Arial" w:cs="Arial"/>
          <w:sz w:val="20"/>
          <w:szCs w:val="20"/>
        </w:rPr>
        <w:t xml:space="preserve">-25/25 °C</w:t>
      </w:r>
    </w:p>
    <w:p/>
    <w:p>
      <w:pPr/>
      <w:r>
        <w:rPr>
          <w:rFonts w:ascii="Arial" w:hAnsi="Arial" w:eastAsia="Arial" w:cs="Arial"/>
          <w:sz w:val="20"/>
          <w:szCs w:val="20"/>
        </w:rPr>
        <w:t xml:space="preserve">Betriebsbereich Warmwasserbereitung</w:t>
      </w:r>
    </w:p>
    <w:p>
      <w:pPr/>
      <w:r>
        <w:rPr>
          <w:rFonts w:ascii="Arial" w:hAnsi="Arial" w:eastAsia="Arial" w:cs="Arial"/>
          <w:sz w:val="20"/>
          <w:szCs w:val="20"/>
        </w:rPr>
        <w:t xml:space="preserve">-25/46 °C</w:t>
      </w:r>
    </w:p>
    <w:p/>
    <w:p>
      <w:pPr/>
      <w:r>
        <w:rPr>
          <w:rFonts w:ascii="Arial" w:hAnsi="Arial" w:eastAsia="Arial" w:cs="Arial"/>
          <w:sz w:val="20"/>
          <w:szCs w:val="20"/>
        </w:rPr>
        <w:t xml:space="preserve">Betriebsbereich Kühlen</w:t>
      </w:r>
    </w:p>
    <w:p>
      <w:pPr/>
      <w:r>
        <w:rPr>
          <w:rFonts w:ascii="Arial" w:hAnsi="Arial" w:eastAsia="Arial" w:cs="Arial"/>
          <w:sz w:val="20"/>
          <w:szCs w:val="20"/>
        </w:rPr>
        <w:t xml:space="preserve">10/43 °C</w:t>
      </w:r>
    </w:p>
    <w:p/>
    <w:p>
      <w:pPr/>
      <w:r>
        <w:rPr>
          <w:rFonts w:ascii="Arial" w:hAnsi="Arial" w:eastAsia="Arial" w:cs="Arial"/>
          <w:sz w:val="20"/>
          <w:szCs w:val="20"/>
        </w:rPr>
        <w:t xml:space="preserve">Leistung Bodenheizung</w:t>
      </w:r>
    </w:p>
    <w:p>
      <w:pPr/>
      <w:r>
        <w:rPr>
          <w:rFonts w:ascii="Arial" w:hAnsi="Arial" w:eastAsia="Arial" w:cs="Arial"/>
          <w:sz w:val="20"/>
          <w:szCs w:val="20"/>
        </w:rPr>
        <w:t xml:space="preserve">150 W</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20.3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25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4.44 kW</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2024-09-07T21:00:48+00:00</dcterms:created>
  <dcterms:modified xsi:type="dcterms:W3CDTF">2024-09-07T21:00:48+00:00</dcterms:modified>
</cp:coreProperties>
</file>

<file path=docProps/custom.xml><?xml version="1.0" encoding="utf-8"?>
<Properties xmlns="http://schemas.openxmlformats.org/officeDocument/2006/custom-properties" xmlns:vt="http://schemas.openxmlformats.org/officeDocument/2006/docPropsVTypes"/>
</file>