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MMU-UP0071YHP-E</w:t>
      </w:r>
    </w:p>
    <w:p>
      <w:pPr>
        <w:pStyle w:val="Heading1"/>
      </w:pPr>
      <w:bookmarkStart w:id="1" w:name="_Toc1"/>
      <w:r>
        <w:t>VRF 1-Wege Kassette 2,2/2,5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VRF - Systeme mit Kältemittel R410A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0.8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0.017 kW</w:t>
      </w:r>
    </w:p>
    <w:p/>
    <w:p>
      <w:pPr/>
      <w:r>
        <w:rPr>
          <w:rFonts w:ascii="Arial" w:hAnsi="Arial" w:eastAsia="Arial" w:cs="Arial"/>
          <w:sz w:val="20"/>
          <w:szCs w:val="20"/>
        </w:rPr>
        <w:t xml:space="preserve">Anlaufstrom</w:t>
      </w:r>
    </w:p>
    <w:p>
      <w:pPr/>
      <w:r>
        <w:rPr>
          <w:rFonts w:ascii="Arial" w:hAnsi="Arial" w:eastAsia="Arial" w:cs="Arial"/>
          <w:sz w:val="20"/>
          <w:szCs w:val="20"/>
        </w:rPr>
        <w:t xml:space="preserve">0.22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150 mm</w:t>
      </w:r>
    </w:p>
    <w:p/>
    <w:p>
      <w:pPr/>
      <w:r>
        <w:rPr>
          <w:rFonts w:ascii="Arial" w:hAnsi="Arial" w:eastAsia="Arial" w:cs="Arial"/>
          <w:sz w:val="20"/>
          <w:szCs w:val="20"/>
        </w:rPr>
        <w:t xml:space="preserve">Breite</w:t>
      </w:r>
    </w:p>
    <w:p>
      <w:pPr/>
      <w:r>
        <w:rPr>
          <w:rFonts w:ascii="Arial" w:hAnsi="Arial" w:eastAsia="Arial" w:cs="Arial"/>
          <w:sz w:val="20"/>
          <w:szCs w:val="20"/>
        </w:rPr>
        <w:t xml:space="preserve">990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14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390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55/52/47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38/34/25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RBC-UY32P-E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30x1220x532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RBC-UY32P-E</w:t>
      </w:r>
    </w:p>
    <w:p>
      <w:pPr/>
      <w:r>
        <w:rPr>
          <w:rFonts w:ascii="Arial" w:hAnsi="Arial" w:eastAsia="Arial" w:cs="Arial"/>
          <w:sz w:val="20"/>
          <w:szCs w:val="20"/>
        </w:rPr>
        <w:t xml:space="preserve">Paneel 1W Kassette</w:t>
      </w:r>
    </w:p>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21:04:26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2024-10-17T19:04:26+00:00</dcterms:created>
  <dcterms:modified xsi:type="dcterms:W3CDTF">2024-10-17T19:04:26+00:00</dcterms:modified>
</cp:coreProperties>
</file>

<file path=docProps/custom.xml><?xml version="1.0" encoding="utf-8"?>
<Properties xmlns="http://schemas.openxmlformats.org/officeDocument/2006/custom-properties" xmlns:vt="http://schemas.openxmlformats.org/officeDocument/2006/docPropsVTypes"/>
</file>