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RAV-HM1101BTP-E</w:t>
      </w:r>
    </w:p>
    <w:p>
      <w:pPr>
        <w:pStyle w:val="Heading1"/>
      </w:pPr>
      <w:bookmarkStart w:id="1" w:name="_Toc1"/>
      <w:r>
        <w:t>Std. Kanalgerät 10,0/11,2 kW R32</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Leistungsstarkes Kanalgerät mit Gehäuse aus verzinktem Stahlblech, schall- und wärmedämmend ausgekleidet. Wahlweise mit Kabelfernbedienung oder externen Infrarotempfänger. Luftansaugung standardmäßig von der Geräterückseite, Umbau auf Luftansaugung von unten ohne zusätzliches Zubehör möglich. Die Ansaugung erfolgt über auswaschbaren Luftfilter, Luftausblas an der Vorderseite über Kanalflansch. Ein Frischluftanteil ist serienmäßig über eine Ausbrechöffnung vorgesehen. Das Innengerät wurde für Kältemittel R32 konzipiert. Es verfügt über Bördel Anschlüsse. Eine Kondensat pumpe mit einer Förderhöhe von bis zu 850 mm ab Geräteunterkante ist bereits im Gerät integriert. Eine externe statische Pressung ist in sieben Stufen bis zu 120 Pa über die Fernbedienung programmierbar. Das Gerät ist mit einer Vielzahl an Fernbedienungen kombinierbar.</w:t>
      </w:r>
    </w:p>
    <w:p>
      <w:pPr/>
      <w:r>
        <w:rPr>
          <w:rFonts w:ascii="Arial" w:hAnsi="Arial" w:eastAsia="Arial" w:cs="Arial"/>
          <w:sz w:val="20"/>
          <w:szCs w:val="20"/>
        </w:rPr>
        <w:t xml:space="preserve"/>
      </w:r>
    </w:p>
    <w:p>
      <w:pPr/>
      <w:r>
        <w:rPr>
          <w:rFonts w:ascii="Arial" w:hAnsi="Arial" w:eastAsia="Arial" w:cs="Arial"/>
          <w:sz w:val="20"/>
          <w:szCs w:val="20"/>
        </w:rPr>
        <w:t xml:space="preserve">VERDAMPFER/VERFLÜSSIGER</w:t>
      </w:r>
    </w:p>
    <w:p>
      <w:pPr/>
      <w:r>
        <w:rPr>
          <w:rFonts w:ascii="Arial" w:hAnsi="Arial" w:eastAsia="Arial" w:cs="Arial"/>
          <w:sz w:val="20"/>
          <w:szCs w:val="20"/>
        </w:rPr>
        <w:t xml:space="preserve">Der für Kältemittel R32 konzipierte Hochleistungswärmeaustauscher garantiert durch seine kompakte Bauart einen sehr geringen Kältemittelinhalt. Speziell profilierte Aluminiumlamellen sorgen für eine hohe Energieeffizienz.</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3-stufiger Wechselstrom- Radialventilator mit neu entwickelten, rückwärts gekrümmten Ventilatorschaufeln sorgt für noch mehr Luftleistung und höhere externe statische Pressung bei gleichzeitiger Reduzierung der Schallemission. Ventilatormotor mit automatischer Drehzahlregelung über Mikroprozessor. Betriebsart wahlweise Automatik oder manuell.</w:t>
      </w:r>
    </w:p>
    <w:p>
      <w:pPr/>
      <w:r>
        <w:rPr>
          <w:rFonts w:ascii="Arial" w:hAnsi="Arial" w:eastAsia="Arial" w:cs="Arial"/>
          <w:sz w:val="20"/>
          <w:szCs w:val="20"/>
        </w:rPr>
        <w:t xml:space="preserve"/>
      </w:r>
    </w:p>
    <w:p>
      <w:pPr/>
      <w:r>
        <w:rPr>
          <w:rFonts w:ascii="Arial" w:hAnsi="Arial" w:eastAsia="Arial" w:cs="Arial"/>
          <w:sz w:val="20"/>
          <w:szCs w:val="20"/>
        </w:rPr>
        <w:t xml:space="preserve">MIKROPROZESSORREGELUNG </w:t>
      </w:r>
    </w:p>
    <w:p>
      <w:pPr/>
      <w:r>
        <w:rPr>
          <w:rFonts w:ascii="Arial" w:hAnsi="Arial" w:eastAsia="Arial" w:cs="Arial"/>
          <w:sz w:val="20"/>
          <w:szCs w:val="20"/>
        </w:rPr>
        <w:t xml:space="preserve">Die mikroprozessorgestützte Regelung ermöglicht eine stufenlose lastabhängige Leistungsregelung und eine optimale Ausnutzung des Hochleistungswärmeaustauschers in allen Leistungsbereichen. Die Gerätegrundfunktionen können wahlweise über Infrarotfernbedienung, Kabelfernbedienung, Zentralfernbedienung oder Gebäudeleitsystem eingestellt werden. Weitergehende Konfiguration ist über die Kabelfernbedienung möglich. Ein Notbetrieb ohne Infrarotfernbedienung und ein automatischer Wiederanlauf, im letzten Betriebszustand nach Spannungsausfall, sind möglich. Die Temperaturerfassung zur Regelung der Raumtemperatur erfolgt wahlweise über den Rückluftsensor, einen externen Temperatursensor oder über einen Sensor in der Kabelfernbedienung. Anzeige und Abfrage aller relevanten Systemparameter und Historie der letzten 4 Störmeldungen über Kabelfernbedienung. Volle Kompatibilität mit der Toshiba Regelungsplattform TCC-Link und deren Zubehörproduktpalette.</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Luftvolumenstrom</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2100/1260 - 583/350 m³/h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40/33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55/48 dB(A)</w:t>
      </w:r>
    </w:p>
    <w:p/>
    <w:p>
      <w:pPr/>
      <w:r>
        <w:rPr>
          <w:rFonts w:ascii="Arial" w:hAnsi="Arial" w:eastAsia="Arial" w:cs="Arial"/>
          <w:sz w:val="20"/>
          <w:szCs w:val="20"/>
        </w:rPr>
        <w:t xml:space="preserve">Luftvolumenstrom</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2100/1260 - 583/350 m³/h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40/33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55/48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275 x 1400 x 750 mm</w:t>
      </w:r>
    </w:p>
    <w:p/>
    <w:p>
      <w:pPr/>
      <w:r>
        <w:rPr>
          <w:rFonts w:ascii="Arial" w:hAnsi="Arial" w:eastAsia="Arial" w:cs="Arial"/>
          <w:sz w:val="20"/>
          <w:szCs w:val="20"/>
        </w:rPr>
        <w:t xml:space="preserve">Gewicht</w:t>
      </w:r>
    </w:p>
    <w:p>
      <w:pPr/>
      <w:r>
        <w:rPr>
          <w:rFonts w:ascii="Arial" w:hAnsi="Arial" w:eastAsia="Arial" w:cs="Arial"/>
          <w:sz w:val="20"/>
          <w:szCs w:val="20"/>
        </w:rPr>
        <w:t xml:space="preserve">41 kg</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Externe statische Pressung</w:t>
      </w:r>
    </w:p>
    <w:p>
      <w:pPr/>
      <w:r>
        <w:rPr>
          <w:rFonts w:ascii="Arial" w:hAnsi="Arial" w:eastAsia="Arial" w:cs="Arial"/>
          <w:sz w:val="20"/>
          <w:szCs w:val="20"/>
        </w:rPr>
        <w:t xml:space="preserve">(h/n)</w:t>
      </w:r>
    </w:p>
    <w:p>
      <w:pPr/>
      <w:r>
        <w:rPr>
          <w:rFonts w:ascii="Arial" w:hAnsi="Arial" w:eastAsia="Arial" w:cs="Arial"/>
          <w:sz w:val="20"/>
          <w:szCs w:val="20"/>
        </w:rPr>
        <w:t xml:space="preserve">150/40 Pa</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 2003/31/EC BZW.</w:t>
      </w:r>
    </w:p>
    <w:p>
      <w:pPr/>
      <w:r>
        <w:rPr>
          <w:rFonts w:ascii="Arial" w:hAnsi="Arial" w:eastAsia="Arial" w:cs="Arial"/>
          <w:sz w:val="20"/>
          <w:szCs w:val="20"/>
        </w:rPr>
        <w:t xml:space="preserve">EN 14825 ERPLOT 10 FÜR SYSTEME BIS 12KW </w:t>
      </w:r>
    </w:p>
    <w:p>
      <w:pPr/>
      <w:r>
        <w:rPr>
          <w:rFonts w:ascii="Arial" w:hAnsi="Arial" w:eastAsia="Arial" w:cs="Arial"/>
          <w:sz w:val="20"/>
          <w:szCs w:val="20"/>
        </w:rPr>
        <w:t xml:space="preserve">NENNKÜHLLEISUTNG UND </w:t>
      </w:r>
    </w:p>
    <w:p>
      <w:pPr/>
      <w:r>
        <w:rPr>
          <w:rFonts w:ascii="Arial" w:hAnsi="Arial" w:eastAsia="Arial" w:cs="Arial"/>
          <w:sz w:val="20"/>
          <w:szCs w:val="20"/>
        </w:rPr>
        <w:t xml:space="preserve">GEMAESS ENER Lot 21 FÜR ALLE GRÖSSEREN SYSTEME</w:t>
      </w:r>
    </w:p>
    <w:p>
      <w:pPr/>
      <w:r>
        <w:rPr>
          <w:rFonts w:ascii="Arial" w:hAnsi="Arial" w:eastAsia="Arial" w:cs="Arial"/>
          <w:sz w:val="20"/>
          <w:szCs w:val="20"/>
        </w:rPr>
        <w:t xml:space="preserve"/>
      </w:r>
    </w:p>
    <w:p>
      <w:pPr/>
      <w:r>
        <w:rPr>
          <w:rFonts w:ascii="Arial" w:hAnsi="Arial" w:eastAsia="Arial" w:cs="Arial"/>
          <w:sz w:val="20"/>
          <w:szCs w:val="20"/>
        </w:rPr>
        <w:t xml:space="preserve">Detaillierte, weiterführende kombinationsspezifische Daten entnehmen Sie bitte bei Bedarf unseren Datenbüchern oder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RBC-AXU31-E</w:t>
      </w:r>
    </w:p>
    <w:p>
      <w:pPr/>
      <w:r>
        <w:rPr>
          <w:rFonts w:ascii="Arial" w:hAnsi="Arial" w:eastAsia="Arial" w:cs="Arial"/>
          <w:sz w:val="20"/>
          <w:szCs w:val="20"/>
        </w:rPr>
        <w:t xml:space="preserve">Empfängerkit InfrarotFB</w:t>
      </w:r>
    </w:p>
    <w:p/>
    <w:p>
      <w:pPr/>
      <w:r>
        <w:rPr>
          <w:rFonts w:ascii="Arial" w:hAnsi="Arial" w:eastAsia="Arial" w:cs="Arial"/>
          <w:sz w:val="20"/>
          <w:szCs w:val="20"/>
        </w:rPr>
        <w:t xml:space="preserve">RBC-AMTU31-E</w:t>
      </w:r>
    </w:p>
    <w:p>
      <w:pPr/>
      <w:r>
        <w:rPr>
          <w:rFonts w:ascii="Arial" w:hAnsi="Arial" w:eastAsia="Arial" w:cs="Arial"/>
          <w:sz w:val="20"/>
          <w:szCs w:val="20"/>
        </w:rPr>
        <w:t xml:space="preserve">Std. Kabelfernbedienung</w:t>
      </w:r>
    </w:p>
    <w:p/>
    <w:p>
      <w:pPr/>
      <w:r>
        <w:rPr>
          <w:rFonts w:ascii="Arial" w:hAnsi="Arial" w:eastAsia="Arial" w:cs="Arial"/>
          <w:sz w:val="20"/>
          <w:szCs w:val="20"/>
        </w:rPr>
        <w:t xml:space="preserve">RBC-ASCU11-E</w:t>
      </w:r>
    </w:p>
    <w:p>
      <w:pPr/>
      <w:r>
        <w:rPr>
          <w:rFonts w:ascii="Arial" w:hAnsi="Arial" w:eastAsia="Arial" w:cs="Arial"/>
          <w:sz w:val="20"/>
          <w:szCs w:val="20"/>
        </w:rPr>
        <w:t xml:space="preserve">Hotel Kabelfernbedienung</w:t>
      </w:r>
    </w:p>
    <w:p/>
    <w:p>
      <w:pPr/>
      <w:r>
        <w:rPr>
          <w:rFonts w:ascii="Arial" w:hAnsi="Arial" w:eastAsia="Arial" w:cs="Arial"/>
          <w:sz w:val="20"/>
          <w:szCs w:val="20"/>
        </w:rPr>
        <w:t xml:space="preserve">TCB-TC41U-E</w:t>
      </w:r>
    </w:p>
    <w:p>
      <w:pPr/>
      <w:r>
        <w:rPr>
          <w:rFonts w:ascii="Arial" w:hAnsi="Arial" w:eastAsia="Arial" w:cs="Arial"/>
          <w:sz w:val="20"/>
          <w:szCs w:val="20"/>
        </w:rPr>
        <w:t xml:space="preserve">Ferntemperatur-Sensor</w:t>
      </w:r>
    </w:p>
    <w:p/>
    <w:p>
      <w:pPr/>
      <w:r>
        <w:rPr>
          <w:rFonts w:ascii="Arial" w:hAnsi="Arial" w:eastAsia="Arial" w:cs="Arial"/>
          <w:sz w:val="20"/>
          <w:szCs w:val="20"/>
        </w:rPr>
        <w:t xml:space="preserve">RBC-FDP3-PE</w:t>
      </w:r>
    </w:p>
    <w:p>
      <w:pPr/>
      <w:r>
        <w:rPr>
          <w:rFonts w:ascii="Arial" w:hAnsi="Arial" w:eastAsia="Arial" w:cs="Arial"/>
          <w:sz w:val="20"/>
          <w:szCs w:val="20"/>
        </w:rPr>
        <w:t xml:space="preserve">Analog und Modbusmodul</w:t>
      </w:r>
    </w:p>
    <w:p/>
    <w:p>
      <w:pPr/>
      <w:r>
        <w:rPr>
          <w:rFonts w:ascii="Arial" w:hAnsi="Arial" w:eastAsia="Arial" w:cs="Arial"/>
          <w:sz w:val="20"/>
          <w:szCs w:val="20"/>
        </w:rPr>
        <w:t xml:space="preserve">TCB-FF151US-E</w:t>
      </w:r>
    </w:p>
    <w:p>
      <w:pPr/>
      <w:r>
        <w:rPr>
          <w:rFonts w:ascii="Arial" w:hAnsi="Arial" w:eastAsia="Arial" w:cs="Arial"/>
          <w:sz w:val="20"/>
          <w:szCs w:val="20"/>
        </w:rPr>
        <w:t xml:space="preserve">Frischluftflansch</w:t>
      </w:r>
    </w:p>
    <w:p/>
    <w:p>
      <w:pPr/>
      <w:r>
        <w:rPr>
          <w:rFonts w:ascii="Arial" w:hAnsi="Arial" w:eastAsia="Arial" w:cs="Arial"/>
          <w:sz w:val="20"/>
          <w:szCs w:val="20"/>
        </w:rPr>
        <w:t xml:space="preserve">TC-USB-EVO-1</w:t>
      </w:r>
    </w:p>
    <w:p>
      <w:pPr/>
      <w:r>
        <w:rPr>
          <w:rFonts w:ascii="Arial" w:hAnsi="Arial" w:eastAsia="Arial" w:cs="Arial"/>
          <w:sz w:val="20"/>
          <w:szCs w:val="20"/>
        </w:rPr>
        <w:t xml:space="preserve">Redundanzmodul</w:t>
      </w:r>
    </w:p>
    <w:p/>
    <w:p>
      <w:pPr/>
      <w:r>
        <w:rPr>
          <w:rFonts w:ascii="Arial" w:hAnsi="Arial" w:eastAsia="Arial" w:cs="Arial"/>
          <w:sz w:val="20"/>
          <w:szCs w:val="20"/>
        </w:rPr>
        <w:t xml:space="preserve">INBACTOS001R100</w:t>
      </w:r>
    </w:p>
    <w:p>
      <w:pPr/>
      <w:r>
        <w:rPr>
          <w:rFonts w:ascii="Arial" w:hAnsi="Arial" w:eastAsia="Arial" w:cs="Arial"/>
          <w:sz w:val="20"/>
          <w:szCs w:val="20"/>
        </w:rPr>
        <w:t xml:space="preserve">BACnet Schnittstelle</w:t>
      </w:r>
    </w:p>
    <w:p/>
    <w:p>
      <w:pPr/>
      <w:r>
        <w:rPr>
          <w:rFonts w:ascii="Arial" w:hAnsi="Arial" w:eastAsia="Arial" w:cs="Arial"/>
          <w:sz w:val="20"/>
          <w:szCs w:val="20"/>
        </w:rPr>
        <w:t xml:space="preserve">TC-USB-EVO-4</w:t>
      </w:r>
    </w:p>
    <w:p>
      <w:pPr/>
      <w:r>
        <w:rPr>
          <w:rFonts w:ascii="Arial" w:hAnsi="Arial" w:eastAsia="Arial" w:cs="Arial"/>
          <w:sz w:val="20"/>
          <w:szCs w:val="20"/>
        </w:rPr>
        <w:t xml:space="preserve">Redundanzmodul</w:t>
      </w:r>
    </w:p>
    <w:p>
      <w:pPr/>
      <w:r>
        <w:rPr>
          <w:rFonts w:ascii="Arial" w:hAnsi="Arial" w:eastAsia="Arial" w:cs="Arial"/>
          <w:sz w:val="20"/>
          <w:szCs w:val="20"/>
        </w:rPr>
        <w:t xml:space="preserve">(Todband)</w:t>
      </w:r>
    </w:p>
    <w:p/>
    <w:p>
      <w:pPr/>
      <w:r>
        <w:rPr>
          <w:rFonts w:ascii="Arial" w:hAnsi="Arial" w:eastAsia="Arial" w:cs="Arial"/>
          <w:sz w:val="20"/>
          <w:szCs w:val="20"/>
        </w:rPr>
        <w:t xml:space="preserve">INKNXTOS001R000</w:t>
      </w:r>
    </w:p>
    <w:p>
      <w:pPr/>
      <w:r>
        <w:rPr>
          <w:rFonts w:ascii="Arial" w:hAnsi="Arial" w:eastAsia="Arial" w:cs="Arial"/>
          <w:sz w:val="20"/>
          <w:szCs w:val="20"/>
        </w:rPr>
        <w:t xml:space="preserve">KNX Schnittst. 1IG A-B Bus /TO-RC-KNX-1I</w:t>
      </w:r>
    </w:p>
    <w:p/>
    <w:p>
      <w:pPr/>
      <w:r>
        <w:rPr>
          <w:rFonts w:ascii="Arial" w:hAnsi="Arial" w:eastAsia="Arial" w:cs="Arial"/>
          <w:sz w:val="20"/>
          <w:szCs w:val="20"/>
        </w:rPr>
        <w:t xml:space="preserve">RBC-AWSU52-E</w:t>
      </w:r>
    </w:p>
    <w:p>
      <w:pPr/>
      <w:r>
        <w:rPr>
          <w:rFonts w:ascii="Arial" w:hAnsi="Arial" w:eastAsia="Arial" w:cs="Arial"/>
          <w:sz w:val="20"/>
          <w:szCs w:val="20"/>
        </w:rPr>
        <w:t xml:space="preserve">Kabel-FB + Wochentimer + BT</w:t>
      </w:r>
    </w:p>
    <w:p/>
    <w:p>
      <w:pPr/>
      <w:r>
        <w:rPr>
          <w:rFonts w:ascii="Arial" w:hAnsi="Arial" w:eastAsia="Arial" w:cs="Arial"/>
          <w:sz w:val="20"/>
          <w:szCs w:val="20"/>
        </w:rPr>
        <w:t xml:space="preserve">INMBSTOS001R000</w:t>
      </w:r>
    </w:p>
    <w:p>
      <w:pPr/>
      <w:r>
        <w:rPr>
          <w:rFonts w:ascii="Arial" w:hAnsi="Arial" w:eastAsia="Arial" w:cs="Arial"/>
          <w:sz w:val="20"/>
          <w:szCs w:val="20"/>
        </w:rPr>
        <w:t xml:space="preserve">Intesis Modbus Schnittstelle/TO-RC-MBS-1</w:t>
      </w:r>
    </w:p>
    <w:p/>
    <w:p>
      <w:pPr/>
      <w:r>
        <w:rPr>
          <w:rFonts w:ascii="Arial" w:hAnsi="Arial" w:eastAsia="Arial" w:cs="Arial"/>
          <w:sz w:val="20"/>
          <w:szCs w:val="20"/>
        </w:rPr>
        <w:t xml:space="preserve">INWMPTOS001R000</w:t>
      </w:r>
    </w:p>
    <w:p>
      <w:pPr/>
      <w:r>
        <w:rPr>
          <w:rFonts w:ascii="Arial" w:hAnsi="Arial" w:eastAsia="Arial" w:cs="Arial"/>
          <w:sz w:val="20"/>
          <w:szCs w:val="20"/>
        </w:rPr>
        <w:t xml:space="preserve">Intesis WIFI-Schnittst. RAV/VRF IP-Home</w:t>
      </w:r>
    </w:p>
    <w:p/>
    <w:p>
      <w:pPr/>
      <w:r>
        <w:rPr>
          <w:rFonts w:ascii="Arial" w:hAnsi="Arial" w:eastAsia="Arial" w:cs="Arial"/>
          <w:sz w:val="20"/>
          <w:szCs w:val="20"/>
        </w:rPr>
        <w:t xml:space="preserve">TCB-SF160C6BPE</w:t>
      </w:r>
    </w:p>
    <w:p>
      <w:pPr/>
      <w:r>
        <w:rPr>
          <w:rFonts w:ascii="Arial" w:hAnsi="Arial" w:eastAsia="Arial" w:cs="Arial"/>
          <w:sz w:val="20"/>
          <w:szCs w:val="20"/>
        </w:rPr>
        <w:t xml:space="preserve">BundkragenFlansch 4x200 0361-0561 BHP</w:t>
      </w:r>
    </w:p>
    <w:p/>
    <w:p>
      <w:pPr/>
      <w:r>
        <w:rPr>
          <w:rFonts w:ascii="Arial" w:hAnsi="Arial" w:eastAsia="Arial" w:cs="Arial"/>
          <w:sz w:val="20"/>
          <w:szCs w:val="20"/>
        </w:rPr>
        <w:t xml:space="preserve">RS-9164-8005-WG</w:t>
      </w:r>
    </w:p>
    <w:p>
      <w:pPr/>
      <w:r>
        <w:rPr>
          <w:rFonts w:ascii="Arial" w:hAnsi="Arial" w:eastAsia="Arial" w:cs="Arial"/>
          <w:sz w:val="20"/>
          <w:szCs w:val="20"/>
        </w:rPr>
        <w:t xml:space="preserve">Fühler für EVO</w:t>
      </w:r>
    </w:p>
    <w:p>
      <w:pPr/>
      <w:r>
        <w:rPr>
          <w:rFonts w:ascii="Arial" w:hAnsi="Arial" w:eastAsia="Arial" w:cs="Arial"/>
          <w:sz w:val="20"/>
          <w:szCs w:val="20"/>
        </w:rPr>
        <w:t xml:space="preserve">(anstatt 33NT400072M)</w:t>
      </w:r>
    </w:p>
    <w:p/>
    <w:p>
      <w:pPr/>
      <w:r>
        <w:rPr>
          <w:rFonts w:ascii="Arial" w:hAnsi="Arial" w:eastAsia="Arial" w:cs="Arial"/>
          <w:sz w:val="20"/>
          <w:szCs w:val="20"/>
        </w:rPr>
        <w:t xml:space="preserve">TC-SMP-UNI-01</w:t>
      </w:r>
    </w:p>
    <w:p>
      <w:pPr/>
      <w:r>
        <w:rPr>
          <w:rFonts w:ascii="Arial" w:hAnsi="Arial" w:eastAsia="Arial" w:cs="Arial"/>
          <w:sz w:val="20"/>
          <w:szCs w:val="20"/>
        </w:rPr>
        <w:t xml:space="preserve">Betrieb-Störmeldemodul</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BMS-IWF0010UCP-E</w:t>
      </w:r>
    </w:p>
    <w:p>
      <w:pPr/>
      <w:r>
        <w:rPr>
          <w:rFonts w:ascii="Arial" w:hAnsi="Arial" w:eastAsia="Arial" w:cs="Arial"/>
          <w:sz w:val="20"/>
          <w:szCs w:val="20"/>
        </w:rPr>
        <w:t xml:space="preserve">WIFI-Modul</w:t>
      </w:r>
    </w:p>
    <w:p/>
    <w:p>
      <w:pPr/>
      <w:r>
        <w:rPr>
          <w:rFonts w:ascii="Arial" w:hAnsi="Arial" w:eastAsia="Arial" w:cs="Arial"/>
          <w:sz w:val="20"/>
          <w:szCs w:val="20"/>
        </w:rPr>
        <w:t xml:space="preserve">INWFITOS001R100</w:t>
      </w:r>
    </w:p>
    <w:p>
      <w:pPr/>
      <w:r>
        <w:rPr>
          <w:rFonts w:ascii="Arial" w:hAnsi="Arial" w:eastAsia="Arial" w:cs="Arial"/>
          <w:sz w:val="20"/>
          <w:szCs w:val="20"/>
        </w:rPr>
        <w:t xml:space="preserve">Toshiba-WiFi Schnittst. via App AC Cloud</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23:02:13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2024-09-07T21:02:13+00:00</dcterms:created>
  <dcterms:modified xsi:type="dcterms:W3CDTF">2024-09-07T21:02:13+00:00</dcterms:modified>
</cp:coreProperties>
</file>

<file path=docProps/custom.xml><?xml version="1.0" encoding="utf-8"?>
<Properties xmlns="http://schemas.openxmlformats.org/officeDocument/2006/custom-properties" xmlns:vt="http://schemas.openxmlformats.org/officeDocument/2006/docPropsVTypes"/>
</file>