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RAV-GM2241AT8-E1</w:t>
      </w:r>
    </w:p>
    <w:p>
      <w:pPr>
        <w:pStyle w:val="Heading1"/>
      </w:pPr>
      <w:bookmarkStart w:id="1" w:name="_Toc1"/>
      <w:r>
        <w:t>Big DI Außengerät Serie 1 / R32 / 400V</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R32 konzipiert. Der Inverter ermöglicht eine bedarfs- abhängige Drehzahlregulierung des Verdichters. Durch ein Kreislaufumkehrventil lässt sich das Außengerät als Wärmepumpe und Kühlgerät einsetzen. Die Kältemittelanschlüsse können über Absperrventile mit Bördelverbindung variabel angeschlossen werden. Ein Inverter geregelter Lüftermotor ermöglicht den Betrieb der Anlage bis zu Außentemperaturen von -15°C / 46°C im Kühlbetrieb und -27°C /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leisen Betrieb mit optimaler Leistungsentfaltung bei </w:t>
      </w:r>
    </w:p>
    <w:p>
      <w:pPr/>
      <w:r>
        <w:rPr>
          <w:rFonts w:ascii="Arial" w:hAnsi="Arial" w:eastAsia="Arial" w:cs="Arial"/>
          <w:sz w:val="20"/>
          <w:szCs w:val="20"/>
        </w:rPr>
        <w:t xml:space="preserve">minimalem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dreireihig </w:t>
      </w:r>
    </w:p>
    <w:p>
      <w:pPr/>
      <w:r>
        <w:rPr>
          <w:rFonts w:ascii="Arial" w:hAnsi="Arial" w:eastAsia="Arial" w:cs="Arial"/>
          <w:sz w:val="20"/>
          <w:szCs w:val="20"/>
        </w:rPr>
        <w:t xml:space="preserve">L-förmig angeordnet. Ein stabiler Schutzgitter beugt mechanischen Deformationen vor. Der Ablauf für Kondensatwasser ist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VENTILATOREN</w:t>
      </w:r>
    </w:p>
    <w:p>
      <w:pPr/>
      <w:r>
        <w:rPr>
          <w:rFonts w:ascii="Arial" w:hAnsi="Arial" w:eastAsia="Arial" w:cs="Arial"/>
          <w:sz w:val="20"/>
          <w:szCs w:val="20"/>
        </w:rPr>
        <w:t xml:space="preserve">Zwei stetig geregelte Axialventilatoren, nach vorn ausblasend, sorgen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Bördelanschlüsse (Anschluss 28,58 mm und 12,70 mm)</w:t>
      </w:r>
    </w:p>
    <w:p>
      <w:pPr/>
      <w:r>
        <w:rPr>
          <w:rFonts w:ascii="Arial" w:hAnsi="Arial" w:eastAsia="Arial" w:cs="Arial"/>
          <w:sz w:val="20"/>
          <w:szCs w:val="20"/>
        </w:rPr>
        <w:t xml:space="preserve"/>
      </w:r>
    </w:p>
    <w:p>
      <w:pPr/>
      <w:r>
        <w:rPr>
          <w:rFonts w:ascii="Arial" w:hAnsi="Arial" w:eastAsia="Arial" w:cs="Arial"/>
          <w:sz w:val="20"/>
          <w:szCs w:val="20"/>
        </w:rPr>
        <w:t xml:space="preserve">KÄLTEMITTELÜBERWACHUNG</w:t>
      </w:r>
    </w:p>
    <w:p>
      <w:pPr/>
      <w:r>
        <w:rPr>
          <w:rFonts w:ascii="Arial" w:hAnsi="Arial" w:eastAsia="Arial" w:cs="Arial"/>
          <w:sz w:val="20"/>
          <w:szCs w:val="20"/>
        </w:rPr>
        <w:t xml:space="preserve">Das invertergeregelte Außengerät verfügt über ein Leckagen-Erkennungs-System. Während der ersten Betriebsstunden nach der Inbetriebnahme des Systems werden aus Systemparametern, wie z.B. System-Temperaturen, Drücken, PMV-Stellung Außengerät, Verdichter-Frequenzen, Referenzwerte gebildet. Diese Werte werden mit denen im laufenden Betrieb herrschenden Werten abgeglichen und bei einer Abweichung der Werte eine Fehlermeldung generiert.</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Invertertechnologie für bedarfsabhängige Drehzahlregulierung des Verdichters und des Lüftermotors sorgen für einen effizienten Betrieb und eine     optimale Ausnutzung des Hochleistungswärmeaustauschers in allen Leistungsbereichen. Bedarfsabtauung im Heizbetrieb durch temperaturdifferenzgesteuerte Abtauautomatik. Temperaturthermistoren für PID-Regelung: Sensor zur Regelung der Überhitzung im Kühlbetrieb und zur Regelung der Unterkühlung im Heizbetrieb sowie Sensor zur Prozessoptimierung. Detaillierte Fehleranalyse und optisches Autodiagnosesystem durch LED-Anzeigen, Betriebszustände und Störungen können über ein LED-Leuchtband leicht abgelesen werden. Über Service-Dipschalter kann das Gerät an Rohrsysteme mit größerem Saugleitungsquerschnitt (R22-Systeme) angepasst werden.</w:t>
      </w:r>
    </w:p>
    <w:p>
      <w:pPr/>
      <w:r>
        <w:rPr>
          <w:rFonts w:ascii="Arial" w:hAnsi="Arial" w:eastAsia="Arial" w:cs="Arial"/>
          <w:sz w:val="20"/>
          <w:szCs w:val="20"/>
        </w:rPr>
        <w:t xml:space="preserve">Toshiba-TCC-Link Kommunikation mit Monitoringfunktion: Über das Monitoring lassen sich Außengeräteparameter an der Kabelfernbedienung RBC-AMSU51-ES / RBC-AMTU31E auslesen:</w:t>
      </w:r>
    </w:p>
    <w:p>
      <w:pPr/>
      <w:r>
        <w:rPr>
          <w:rFonts w:ascii="Arial" w:hAnsi="Arial" w:eastAsia="Arial" w:cs="Arial"/>
          <w:sz w:val="20"/>
          <w:szCs w:val="20"/>
        </w:rPr>
        <w:t xml:space="preserve">- Wärmeaustauschertemperatur</w:t>
      </w:r>
    </w:p>
    <w:p>
      <w:pPr/>
      <w:r>
        <w:rPr>
          <w:rFonts w:ascii="Arial" w:hAnsi="Arial" w:eastAsia="Arial" w:cs="Arial"/>
          <w:sz w:val="20"/>
          <w:szCs w:val="20"/>
        </w:rPr>
        <w:t xml:space="preserve">- Außentemperatur</w:t>
      </w:r>
    </w:p>
    <w:p>
      <w:pPr/>
      <w:r>
        <w:rPr>
          <w:rFonts w:ascii="Arial" w:hAnsi="Arial" w:eastAsia="Arial" w:cs="Arial"/>
          <w:sz w:val="20"/>
          <w:szCs w:val="20"/>
        </w:rPr>
        <w:t xml:space="preserve">- Heißgastemperatur</w:t>
      </w:r>
    </w:p>
    <w:p>
      <w:pPr/>
      <w:r>
        <w:rPr>
          <w:rFonts w:ascii="Arial" w:hAnsi="Arial" w:eastAsia="Arial" w:cs="Arial"/>
          <w:sz w:val="20"/>
          <w:szCs w:val="20"/>
        </w:rPr>
        <w:t xml:space="preserve">- Sauggastemperatur</w:t>
      </w:r>
    </w:p>
    <w:p>
      <w:pPr/>
      <w:r>
        <w:rPr>
          <w:rFonts w:ascii="Arial" w:hAnsi="Arial" w:eastAsia="Arial" w:cs="Arial"/>
          <w:sz w:val="20"/>
          <w:szCs w:val="20"/>
        </w:rPr>
        <w:t xml:space="preserve">- Frequenzumrichter-Kühlkörpertemperatur</w:t>
      </w:r>
    </w:p>
    <w:p>
      <w:pPr/>
      <w:r>
        <w:rPr>
          <w:rFonts w:ascii="Arial" w:hAnsi="Arial" w:eastAsia="Arial" w:cs="Arial"/>
          <w:sz w:val="20"/>
          <w:szCs w:val="20"/>
        </w:rPr>
        <w:t xml:space="preserve">- Stromaufnahme Außengerät</w:t>
      </w:r>
    </w:p>
    <w:p>
      <w:pPr/>
      <w:r>
        <w:rPr>
          <w:rFonts w:ascii="Arial" w:hAnsi="Arial" w:eastAsia="Arial" w:cs="Arial"/>
          <w:sz w:val="20"/>
          <w:szCs w:val="20"/>
        </w:rPr>
        <w:t xml:space="preserve">- Betriebsstunden Verdichter</w:t>
      </w:r>
    </w:p>
    <w:p>
      <w:pPr/>
      <w:r>
        <w:rPr>
          <w:rFonts w:ascii="Arial" w:hAnsi="Arial" w:eastAsia="Arial" w:cs="Arial"/>
          <w:sz w:val="20"/>
          <w:szCs w:val="20"/>
        </w:rPr>
        <w:t xml:space="preserve">Serienabhängige optionale Funktionen (Innen-Außengerät) </w:t>
      </w:r>
    </w:p>
    <w:p>
      <w:pPr/>
      <w:r>
        <w:rPr>
          <w:rFonts w:ascii="Arial" w:hAnsi="Arial" w:eastAsia="Arial" w:cs="Arial"/>
          <w:sz w:val="20"/>
          <w:szCs w:val="20"/>
        </w:rPr>
        <w:t xml:space="preserve">Die programmierbare Energiesparoption erlaubt ein Leistungslimit der Verdichterleistung zwischen 50 und 100%. Die Nachtbetriebsoption ermöglicht die Leistung des Außengerätes zu reduzieren, um den Schallpegel während der Nachtzeiten zu senken. Für den Heizbetrieb unter extremen Witterungsbedingungen kann der Abtauzyklus von 150 auf 90, 60 oder 30 Minuten reduziert werden.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 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5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100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Nachfüllmenge</w:t>
      </w:r>
    </w:p>
    <w:p>
      <w:pPr/>
      <w:r>
        <w:rPr>
          <w:rFonts w:ascii="Arial" w:hAnsi="Arial" w:eastAsia="Arial" w:cs="Arial"/>
          <w:sz w:val="20"/>
          <w:szCs w:val="20"/>
        </w:rPr>
        <w:t xml:space="preserve">90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12.7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28.57 mm</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2542 l/s</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9150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76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76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1550 x 1010 x 370 mm</w:t>
      </w:r>
    </w:p>
    <w:p/>
    <w:p>
      <w:pPr/>
      <w:r>
        <w:rPr>
          <w:rFonts w:ascii="Arial" w:hAnsi="Arial" w:eastAsia="Arial" w:cs="Arial"/>
          <w:sz w:val="20"/>
          <w:szCs w:val="20"/>
        </w:rPr>
        <w:t xml:space="preserve">Gewicht</w:t>
      </w:r>
    </w:p>
    <w:p>
      <w:pPr/>
      <w:r>
        <w:rPr>
          <w:rFonts w:ascii="Arial" w:hAnsi="Arial" w:eastAsia="Arial" w:cs="Arial"/>
          <w:sz w:val="20"/>
          <w:szCs w:val="20"/>
        </w:rPr>
        <w:t xml:space="preserve">142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18 A</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-27 / +15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3375</w:t>
      </w:r>
    </w:p>
    <w:p/>
    <w:p>
      <w:pPr/>
      <w:r>
        <w:rPr>
          <w:rFonts w:ascii="Arial" w:hAnsi="Arial" w:eastAsia="Arial" w:cs="Arial"/>
          <w:sz w:val="20"/>
          <w:szCs w:val="20"/>
        </w:rPr>
        <w:t xml:space="preserve">Minimale Grundfläche für die</w:t>
      </w:r>
    </w:p>
    <w:p>
      <w:pPr/>
      <w:r>
        <w:rPr>
          <w:rFonts w:ascii="Arial" w:hAnsi="Arial" w:eastAsia="Arial" w:cs="Arial"/>
          <w:sz w:val="20"/>
          <w:szCs w:val="20"/>
        </w:rPr>
        <w:t xml:space="preserve">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4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25 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12.2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TCB-KBOS4E</w:t>
      </w:r>
    </w:p>
    <w:p>
      <w:pPr/>
      <w:r>
        <w:rPr>
          <w:rFonts w:ascii="Arial" w:hAnsi="Arial" w:eastAsia="Arial" w:cs="Arial"/>
          <w:sz w:val="20"/>
          <w:szCs w:val="20"/>
        </w:rPr>
        <w:t xml:space="preserve">Reduz. Stromsp. BigDI S6&amp;Verdichtermeld.</w:t>
      </w:r>
    </w:p>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2024-09-07T21:03:17+00:00</dcterms:created>
  <dcterms:modified xsi:type="dcterms:W3CDTF">2024-09-07T21:03:17+00:00</dcterms:modified>
</cp:coreProperties>
</file>

<file path=docProps/custom.xml><?xml version="1.0" encoding="utf-8"?>
<Properties xmlns="http://schemas.openxmlformats.org/officeDocument/2006/custom-properties" xmlns:vt="http://schemas.openxmlformats.org/officeDocument/2006/docPropsVTypes"/>
</file>