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RAS-M10U2MUVG-E</w:t>
      </w:r>
    </w:p>
    <w:p>
      <w:pPr>
        <w:pStyle w:val="Heading1"/>
      </w:pPr>
      <w:bookmarkStart w:id="1" w:name="_Toc1"/>
      <w:r>
        <w:t>4-Wege-Kassette Multi 2,5/3,2kW 60x60</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für Euro Rasterdecken von 600mm x 600mm mit sehr geringer Bauhöhe. Gehäuse aus verzinktem Stahlblech, schall- und wärmedämmend verkleidet. Luftausblaspaneel aus hellem Kunststoff, wahlweise mit integrierbarem Infrarotempfänger oder integrierbarem Bewegungssensor und Kabelfernbedienung. Luftansaug von unten über Luftfilter, Luftausblas über 2, 3 oder 4 Seiten. Die Luftleitlamellen können über 4 Motoren unabhängig voneinander in fünf unterschiedliche Positionen eingestellt werden. In der Luftleitlamellen-Betriebsart Swing stehen folgende Modi zur Verfügung Auto-, Dual- und Cycle-Swing, ferner kann je nach Betriebs-Art eine automatische Positionierung eingestellt werden. Durch das speziell entwickelte Design der Lamellen wird die Schmutzablagerung an den Luftauslässen auf ein Minimum reduziert. Ein Frischluftanteil und ein Kanalanschluss für benachbarte Räume lassen sich über vorgestanzte Ausbrechöffnungen leicht realisieren. Der Schaltkasten befindet sich seitlich am Gerät. Nach Öffnen des Luftansauggitters sind alle wichtigen Einbauteile des Gerätes leicht zugänglich. Das Innengerät wurde speziell für Inverter-System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 32 / R 410A geeignete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Wechselstrom-Inverter-Radialventilatormotor mit neu entwickelten Ventilatorschaufeln sorgt für sehr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w:t>
      </w:r>
    </w:p>
    <w:p>
      <w:pPr/>
      <w:r>
        <w:rPr>
          <w:rFonts w:ascii="Arial" w:hAnsi="Arial" w:eastAsia="Arial" w:cs="Arial"/>
          <w:sz w:val="20"/>
          <w:szCs w:val="20"/>
        </w:rPr>
        <w:t xml:space="preserve">Leicht zu reinigender Kunststoffstaubfilter (Grobfilter)</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Fernbedienung, zusätzlich manuell schaltbar, Testbetrieb und kontinuierlicher Dauerbetrieb mit festem Sollwert.</w:t>
      </w:r>
    </w:p>
    <w:p>
      <w:pPr/>
      <w:r>
        <w:rPr>
          <w:rFonts w:ascii="Arial" w:hAnsi="Arial" w:eastAsia="Arial" w:cs="Arial"/>
          <w:sz w:val="20"/>
          <w:szCs w:val="20"/>
        </w:rPr>
        <w:t xml:space="preserve"/>
      </w:r>
    </w:p>
    <w:p>
      <w:pPr/>
      <w:r>
        <w:rPr>
          <w:rFonts w:ascii="Arial" w:hAnsi="Arial" w:eastAsia="Arial" w:cs="Arial"/>
          <w:sz w:val="20"/>
          <w:szCs w:val="20"/>
        </w:rPr>
        <w:t xml:space="preserve">MIKROPROZESSOR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590-164 m3/h - l/s</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590-164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37/30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256 x 575 x 575 mm</w:t>
      </w:r>
    </w:p>
    <w:p/>
    <w:p>
      <w:pPr/>
      <w:r>
        <w:rPr>
          <w:rFonts w:ascii="Arial" w:hAnsi="Arial" w:eastAsia="Arial" w:cs="Arial"/>
          <w:sz w:val="20"/>
          <w:szCs w:val="20"/>
        </w:rPr>
        <w:t xml:space="preserve">Gewicht</w:t>
      </w:r>
    </w:p>
    <w:p>
      <w:pPr/>
      <w:r>
        <w:rPr>
          <w:rFonts w:ascii="Arial" w:hAnsi="Arial" w:eastAsia="Arial" w:cs="Arial"/>
          <w:sz w:val="20"/>
          <w:szCs w:val="20"/>
        </w:rPr>
        <w:t xml:space="preserve">15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2.7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 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4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 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37/30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52/45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37/30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52/45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RBC-UM21PG(W)-E</w:t>
      </w:r>
    </w:p>
    <w:p>
      <w:pPr/>
      <w:r>
        <w:rPr>
          <w:rFonts w:ascii="Arial" w:hAnsi="Arial" w:eastAsia="Arial" w:cs="Arial"/>
          <w:sz w:val="20"/>
          <w:szCs w:val="20"/>
        </w:rPr>
        <w:t xml:space="preserve">Paneel Euro 4W Kassette EOL 2024</w:t>
      </w:r>
    </w:p>
    <w:p/>
    <w:p>
      <w:pPr/>
      <w:r>
        <w:rPr>
          <w:rFonts w:ascii="Arial" w:hAnsi="Arial" w:eastAsia="Arial" w:cs="Arial"/>
          <w:sz w:val="20"/>
          <w:szCs w:val="20"/>
        </w:rPr>
        <w:t xml:space="preserve">RB-RWS21-E</w:t>
      </w:r>
    </w:p>
    <w:p>
      <w:pPr/>
      <w:r>
        <w:rPr>
          <w:rFonts w:ascii="Arial" w:hAnsi="Arial" w:eastAsia="Arial" w:cs="Arial"/>
          <w:sz w:val="20"/>
          <w:szCs w:val="20"/>
        </w:rPr>
        <w:t xml:space="preserve">Kabel-FB Multi-Kanal u. Kassette</w:t>
      </w:r>
    </w:p>
    <w:p/>
    <w:p>
      <w:pPr/>
      <w:r>
        <w:rPr>
          <w:rFonts w:ascii="Arial" w:hAnsi="Arial" w:eastAsia="Arial" w:cs="Arial"/>
          <w:sz w:val="20"/>
          <w:szCs w:val="20"/>
        </w:rPr>
        <w:t xml:space="preserve">TCB-SIR41UM-E</w:t>
      </w:r>
    </w:p>
    <w:p>
      <w:pPr/>
      <w:r>
        <w:rPr>
          <w:rFonts w:ascii="Arial" w:hAnsi="Arial" w:eastAsia="Arial" w:cs="Arial"/>
          <w:sz w:val="20"/>
          <w:szCs w:val="20"/>
        </w:rPr>
        <w:t xml:space="preserve">Bewegungssensor Euro 4W Kass.</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RBC-UM21PB-E</w:t>
      </w:r>
    </w:p>
    <w:p>
      <w:pPr/>
      <w:r>
        <w:rPr>
          <w:rFonts w:ascii="Arial" w:hAnsi="Arial" w:eastAsia="Arial" w:cs="Arial"/>
          <w:sz w:val="20"/>
          <w:szCs w:val="20"/>
        </w:rPr>
        <w:t xml:space="preserve">Paneel Euro 4-W Kassette schwarz</w:t>
      </w:r>
    </w:p>
    <w:p/>
    <w:p>
      <w:pPr/>
      <w:r>
        <w:rPr>
          <w:rFonts w:ascii="Arial" w:hAnsi="Arial" w:eastAsia="Arial" w:cs="Arial"/>
          <w:sz w:val="20"/>
          <w:szCs w:val="20"/>
        </w:rPr>
        <w:t xml:space="preserve">RBC-UM21P-E</w:t>
      </w:r>
    </w:p>
    <w:p>
      <w:pPr/>
      <w:r>
        <w:rPr>
          <w:rFonts w:ascii="Arial" w:hAnsi="Arial" w:eastAsia="Arial" w:cs="Arial"/>
          <w:sz w:val="20"/>
          <w:szCs w:val="20"/>
        </w:rPr>
        <w:t xml:space="preserve">Paneel Euro-4-Wege Kassette weiß</w:t>
      </w:r>
    </w:p>
    <w:p/>
    <w:p>
      <w:pPr/>
      <w:r>
        <w:rPr>
          <w:rFonts w:ascii="Arial" w:hAnsi="Arial" w:eastAsia="Arial" w:cs="Arial"/>
          <w:sz w:val="20"/>
          <w:szCs w:val="20"/>
        </w:rPr>
        <w:t xml:space="preserve">RBC-AXU31UMPB-E</w:t>
      </w:r>
    </w:p>
    <w:p>
      <w:pPr/>
      <w:r>
        <w:rPr>
          <w:rFonts w:ascii="Arial" w:hAnsi="Arial" w:eastAsia="Arial" w:cs="Arial"/>
          <w:sz w:val="20"/>
          <w:szCs w:val="20"/>
        </w:rPr>
        <w:t xml:space="preserve">IR-EmpfängerKit schwarz für RBC-UM21PB-E</w:t>
      </w:r>
    </w:p>
    <w:p/>
    <w:p>
      <w:pPr/>
      <w:r>
        <w:rPr>
          <w:rFonts w:ascii="Arial" w:hAnsi="Arial" w:eastAsia="Arial" w:cs="Arial"/>
          <w:sz w:val="20"/>
          <w:szCs w:val="20"/>
        </w:rPr>
        <w:t xml:space="preserve">RBC-AXU31UMP-E</w:t>
      </w:r>
    </w:p>
    <w:p>
      <w:pPr/>
      <w:r>
        <w:rPr>
          <w:rFonts w:ascii="Arial" w:hAnsi="Arial" w:eastAsia="Arial" w:cs="Arial"/>
          <w:sz w:val="20"/>
          <w:szCs w:val="20"/>
        </w:rPr>
        <w:t xml:space="preserve">IR-Empfänger-Kit für RBC-UM21P-E</w:t>
      </w:r>
    </w:p>
    <w:p/>
    <w:p>
      <w:pPr/>
      <w:r>
        <w:rPr>
          <w:rFonts w:ascii="Arial" w:hAnsi="Arial" w:eastAsia="Arial" w:cs="Arial"/>
          <w:sz w:val="20"/>
          <w:szCs w:val="20"/>
        </w:rPr>
        <w:t xml:space="preserve">TCB-SIR41UMP-E</w:t>
      </w:r>
    </w:p>
    <w:p>
      <w:pPr/>
      <w:r>
        <w:rPr>
          <w:rFonts w:ascii="Arial" w:hAnsi="Arial" w:eastAsia="Arial" w:cs="Arial"/>
          <w:sz w:val="20"/>
          <w:szCs w:val="20"/>
        </w:rPr>
        <w:t xml:space="preserve">Bewegungssensor MMU_MHP</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23:00:54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2024-09-07T21:00:54+00:00</dcterms:created>
  <dcterms:modified xsi:type="dcterms:W3CDTF">2024-09-07T21:00:54+00:00</dcterms:modified>
</cp:coreProperties>
</file>

<file path=docProps/custom.xml><?xml version="1.0" encoding="utf-8"?>
<Properties xmlns="http://schemas.openxmlformats.org/officeDocument/2006/custom-properties" xmlns:vt="http://schemas.openxmlformats.org/officeDocument/2006/docPropsVTypes"/>
</file>