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RAV-HM901KRTP-E</w:t>
      </w:r>
    </w:p>
    <w:p>
      <w:pPr>
        <w:pStyle w:val="Heading1"/>
      </w:pPr>
      <w:bookmarkStart w:id="1" w:name="_Toc1"/>
      <w:r>
        <w:t>Wandgerät 8,0/9,0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optisch sehr ansprechende Klima-Wandgerät in klassischer heller Farbgebung wurde für Kältemittel R32 konzipiert. Eine einstellbare Luftleitlamelle sorgt für individuelle Komfortregelung. Die Lamelle kann motorisch in fünf vertikale feste Positionen oder in Swing-Betrieb eingestellt werden. Der Lufteintritt befindet sich an der Geräteoberseite. Die herausnehmbaren, regenerierbaren Luftfilter sind durch ein leicht zu öffnendes Luftansauggitter zugänglich. Nach Öffnen des Luftansauggitters sind die Elektroanschlüsse des Gerätes gut zugänglich. Die Gerätemontage erfolgt über eine Trägerplatte an der Wand. Es besteht die Möglichkeit die Kältemittelleitungen variabel an das Gerät heranzuführen. Es verfügt über Bördel Anschlüsse. Das Gerät ist mit einer Vielzahl an Fernbedienungen kombinierbar. Eine Infrarotfernbedienung wird als Standard mitgeliefert.</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L-förmige Hochleistungswärmeaustauscher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Gleichstrom (DC-) Tangentialventilator sorgt mit neu entwickelten Ventilatorschaufeln und bis zu fünf Lüfterstufen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w:t>
      </w:r>
    </w:p>
    <w:p>
      <w:pPr/>
      <w:r>
        <w:rPr>
          <w:rFonts w:ascii="Arial" w:hAnsi="Arial" w:eastAsia="Arial" w:cs="Arial"/>
          <w:sz w:val="20"/>
          <w:szCs w:val="20"/>
        </w:rPr>
        <w:t xml:space="preserve">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1180/680 - 328/189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47/35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62/50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1180/680 – 328/189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47/35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62/50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320 x 1050 x 250 mm</w:t>
      </w:r>
    </w:p>
    <w:p/>
    <w:p>
      <w:pPr/>
      <w:r>
        <w:rPr>
          <w:rFonts w:ascii="Arial" w:hAnsi="Arial" w:eastAsia="Arial" w:cs="Arial"/>
          <w:sz w:val="20"/>
          <w:szCs w:val="20"/>
        </w:rPr>
        <w:t xml:space="preserve">Gewicht</w:t>
      </w:r>
    </w:p>
    <w:p>
      <w:pPr/>
      <w:r>
        <w:rPr>
          <w:rFonts w:ascii="Arial" w:hAnsi="Arial" w:eastAsia="Arial" w:cs="Arial"/>
          <w:sz w:val="20"/>
          <w:szCs w:val="20"/>
        </w:rPr>
        <w:t xml:space="preserve">14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23:01:57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2024-09-07T21:01:57+00:00</dcterms:created>
  <dcterms:modified xsi:type="dcterms:W3CDTF">2024-09-07T21:01:57+00:00</dcterms:modified>
</cp:coreProperties>
</file>

<file path=docProps/custom.xml><?xml version="1.0" encoding="utf-8"?>
<Properties xmlns="http://schemas.openxmlformats.org/officeDocument/2006/custom-properties" xmlns:vt="http://schemas.openxmlformats.org/officeDocument/2006/docPropsVTypes"/>
</file>