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RAS-13PKVPG-E-WIFI</w:t>
      </w:r>
    </w:p>
    <w:p>
      <w:pPr>
        <w:pStyle w:val="Heading1"/>
      </w:pPr>
      <w:bookmarkStart w:id="1" w:name="_Toc1"/>
      <w:r>
        <w:t>SDaiseikai 9 IG 3,5/4,0kW R32+RB-N10xS-G</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für 1:1-Anwendungen mit folgenden Funktionen Kühlen, Heizen, Entfeuchten, Ventilation und Raumluftaufbereitung. Das elegante, zeitlose Gehäuse aus schlagfestem Kunststoff ist mit der Frontblende in Holzstruktur optisch sehr ansprechend und folgt dem derzeitigen Livestyle-Trend. Über den Betriebsstatus des Systems informiert eine dezente Anzeige auf dem Frontpaneel. Geräteaufhängung durch Montageträgerplatte an der Wand. Die Leitungsanschlüsse erfolgen variabel nach hinten, seitlich oder nach unten. Leise laufendes Hochleistungstangentialgebläse, Kunststoff-Kondensatwanne mit gedämmten Ablaufschlauch, wahlweise links oder rechts anschließbar. Frontpaneel weiß mit glatter Oberfläche.</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Plasmafilter, aktive, elektrostatische Luftbehandlung sorgt für ein angenehmes Raumklima. </w:t>
      </w:r>
    </w:p>
    <w:p>
      <w:pPr/>
      <w:r>
        <w:rPr>
          <w:rFonts w:ascii="Arial" w:hAnsi="Arial" w:eastAsia="Arial" w:cs="Arial"/>
          <w:sz w:val="20"/>
          <w:szCs w:val="20"/>
        </w:rPr>
        <w:t xml:space="preserve">Der waschbare Luftfilter hält Grobstaub vom Wärmetauscher fern und erhöht die Raumluftqualität.</w:t>
      </w:r>
    </w:p>
    <w:p>
      <w:pPr/>
      <w:r>
        <w:rPr>
          <w:rFonts w:ascii="Arial" w:hAnsi="Arial" w:eastAsia="Arial" w:cs="Arial"/>
          <w:sz w:val="20"/>
          <w:szCs w:val="20"/>
        </w:rPr>
        <w:t xml:space="preserve">Leicht zu reinigender Kunststoffstaubfilter (Grobfilter)</w:t>
      </w:r>
    </w:p>
    <w:p>
      <w:pPr/>
      <w:r>
        <w:rPr>
          <w:rFonts w:ascii="Arial" w:hAnsi="Arial" w:eastAsia="Arial" w:cs="Arial"/>
          <w:sz w:val="20"/>
          <w:szCs w:val="20"/>
        </w:rPr>
        <w:t xml:space="preserve">Zyklische Filteranzeige</w:t>
      </w:r>
    </w:p>
    <w:p>
      <w:pPr/>
      <w:r>
        <w:rPr>
          <w:rFonts w:ascii="Arial" w:hAnsi="Arial" w:eastAsia="Arial" w:cs="Arial"/>
          <w:sz w:val="20"/>
          <w:szCs w:val="20"/>
        </w:rPr>
        <w:t xml:space="preserve">Alle 1.000 Betriebsstunden wird der Betreiber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WIFI</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Die Spannungsversorgung des Moduls erfolgt über die Platine am Innengerät. Folgende Funktionen können abgerufen werden:</w:t>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Swingmodus. Hi-Power-Modus  für  eine  schnelle  Änderung  der 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Einstellung des Sollwertes für Raumtemperatur: min. 17°C Kühlen - max. 30°C Heizen, 5 wählbare Ventilatorstufen plus Automatikfunktion, Betriebsmodus: Automatik, Heizen, Kühlen, Entfeuchten oder nur Ventilation und Luftbehandlungsmodus. Wochentimerfunktion mit 4 Schaltzeiten pro Tag, Steuerung der Luftleitlamellen in Vertikal- und Horizontalstellung über die Taste „Fix“ in unterschiedlichen vorgegebenen Positionen oder „Swing“ für kontinuierliche Auf- und Ab-Bewegung bzw. vertikalen Schwenkbetrieb der Luftleitlamellen. Zusätzlich Funktionen wie Silent-Mode für das Außengerät, Comfort-Sleep-Mode, One Touch-Mode, Eco-Mode, Hi-Power-Modus, Power Select-Modus, Fire-Place-Modus und ein Auskühlschutz 5-13°C runden die vielfältigen Funktionen der Fernbedienung ab. Eine Wandhalterung für die Fernbedienung ist im Lieferumfang enthalten.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710-197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44/20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59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720-200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45/20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45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60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851 x 270 mm</w:t>
      </w:r>
    </w:p>
    <w:p/>
    <w:p>
      <w:pPr/>
      <w:r>
        <w:rPr>
          <w:rFonts w:ascii="Arial" w:hAnsi="Arial" w:eastAsia="Arial" w:cs="Arial"/>
          <w:sz w:val="20"/>
          <w:szCs w:val="20"/>
        </w:rPr>
        <w:t xml:space="preserve">Gewicht</w:t>
      </w:r>
    </w:p>
    <w:p>
      <w:pPr/>
      <w:r>
        <w:rPr>
          <w:rFonts w:ascii="Arial" w:hAnsi="Arial" w:eastAsia="Arial" w:cs="Arial"/>
          <w:sz w:val="20"/>
          <w:szCs w:val="20"/>
        </w:rPr>
        <w:t xml:space="preserve">14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3.7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
unter:
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2024-09-07T21:01:05+00:00</dcterms:created>
  <dcterms:modified xsi:type="dcterms:W3CDTF">2024-09-07T21:01:05+00:00</dcterms:modified>
</cp:coreProperties>
</file>

<file path=docProps/custom.xml><?xml version="1.0" encoding="utf-8"?>
<Properties xmlns="http://schemas.openxmlformats.org/officeDocument/2006/custom-properties" xmlns:vt="http://schemas.openxmlformats.org/officeDocument/2006/docPropsVTypes"/>
</file>