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RAV-HM561UT-E</w:t>
      </w:r>
    </w:p>
    <w:p>
      <w:pPr>
        <w:pStyle w:val="Heading1"/>
      </w:pPr>
      <w:bookmarkStart w:id="1" w:name="_Toc1"/>
      <w:r>
        <w:t>Smart 4-Wege-Kassette 5,0/5,6 kW SDI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Gehäuse aus verzinktem Stahlblech, schall- und wärmedämmend verkleidet. Zum Anschluss an RAV Super-Digital-Inverter Außengeräte mit Kältemittel R32.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RBC-AMS55E;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Das Innengerät ermöglicht höchste Energieeffizienz bei geringster Kältemittelmenge und ist für den Dauerbetrieb in der technischen Kühlung (Serverräume) optimiert. Die intelligente Invertersteuerung ermöglicht eine optimale Leistungsanpassung des Systems bis in kleinste Lastbereiche. Ein optionaler Bewegungssensor kann im Paneel integriert werden. Zur Energieeinsparung setzt er, abhängig von der An- oder Abwesenheit von Personen im Raum, ein, oder eine Gruppe von Innengeräten, in den Standby oder Thermal-Off Modus. Der Anschluss der Kältemittelleitungen wird über ISO 14903 zertifizierte Bördelverbindungen hergestellt. Das Gerät ist mit einem integrierbaren Infrarot-Empfänger kombinierbar. In Verbindung mit der Kabel-Fernbedienung RBC-AMS55E steht ein Energy-Monitoring zur Verfügung. Drei Power-Consumption-Screens informieren über den aktuellen Stromverbrauch des Systems, auf Wunsch jeweils im Vergleich zum Vortag oder der Vorwoche. Eine Kondensat-Hebepumpe mit einem Hub von 850 mm ab Unterkante Zwischendecke ist integriert.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1050/750 - 291/208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32/26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48/43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1050/750 - 291/208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32/26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48/43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5 kg</w:t>
      </w:r>
    </w:p>
    <w:p/>
    <w:p>
      <w:pPr/>
      <w:r>
        <w:rPr>
          <w:rFonts w:ascii="Arial" w:hAnsi="Arial" w:eastAsia="Arial" w:cs="Arial"/>
          <w:sz w:val="20"/>
          <w:szCs w:val="20"/>
        </w:rPr>
        <w:t xml:space="preserve">Gewicht</w:t>
      </w:r>
    </w:p>
    <w:p>
      <w:pPr/>
      <w:r>
        <w:rPr>
          <w:rFonts w:ascii="Arial" w:hAnsi="Arial" w:eastAsia="Arial" w:cs="Arial"/>
          <w:sz w:val="20"/>
          <w:szCs w:val="20"/>
        </w:rPr>
        <w:t xml:space="preserve">20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RBC-AX41U(W)-E</w:t>
      </w:r>
    </w:p>
    <w:p>
      <w:pPr/>
      <w:r>
        <w:rPr>
          <w:rFonts w:ascii="Arial" w:hAnsi="Arial" w:eastAsia="Arial" w:cs="Arial"/>
          <w:sz w:val="20"/>
          <w:szCs w:val="20"/>
        </w:rPr>
        <w:t xml:space="preserve">IREmpfKit Ausblgitter SMART Kass 950x950</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2024-09-07T21:02:33+00:00</dcterms:created>
  <dcterms:modified xsi:type="dcterms:W3CDTF">2024-09-07T21:02:33+00:00</dcterms:modified>
</cp:coreProperties>
</file>

<file path=docProps/custom.xml><?xml version="1.0" encoding="utf-8"?>
<Properties xmlns="http://schemas.openxmlformats.org/officeDocument/2006/custom-properties" xmlns:vt="http://schemas.openxmlformats.org/officeDocument/2006/docPropsVTypes"/>
</file>