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RAV-HM1401CTP-E</w:t>
      </w:r>
    </w:p>
    <w:p>
      <w:pPr>
        <w:pStyle w:val="Heading1"/>
      </w:pPr>
      <w:bookmarkStart w:id="1" w:name="_Toc1"/>
      <w:r>
        <w:t>Unterdeckengerät 12,5/14,0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 R410A entwickelt und verfügt über zwei Bördelanschlüsse. Die Kondensatwanne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entwickelt und verfügt über Bördel Anschlüsse. Die Kondensat 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2040/1200 - 567/333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46/35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61/50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2040/1200 - 567/333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46/35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61/50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235 x 1586 x 690 mm</w:t>
      </w:r>
    </w:p>
    <w:p/>
    <w:p>
      <w:pPr/>
      <w:r>
        <w:rPr>
          <w:rFonts w:ascii="Arial" w:hAnsi="Arial" w:eastAsia="Arial" w:cs="Arial"/>
          <w:sz w:val="20"/>
          <w:szCs w:val="20"/>
        </w:rPr>
        <w:t xml:space="preserve">Gewicht</w:t>
      </w:r>
    </w:p>
    <w:p>
      <w:pPr/>
      <w:r>
        <w:rPr>
          <w:rFonts w:ascii="Arial" w:hAnsi="Arial" w:eastAsia="Arial" w:cs="Arial"/>
          <w:sz w:val="20"/>
          <w:szCs w:val="20"/>
        </w:rPr>
        <w:t xml:space="preserve">37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TCB-DP31CE</w:t>
      </w:r>
    </w:p>
    <w:p>
      <w:pPr/>
      <w:r>
        <w:rPr>
          <w:rFonts w:ascii="Arial" w:hAnsi="Arial" w:eastAsia="Arial" w:cs="Arial"/>
          <w:sz w:val="20"/>
          <w:szCs w:val="20"/>
        </w:rPr>
        <w:t xml:space="preserve">Kondensatpumpe CTP</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2024-10-17T19:02:23+00:00</dcterms:created>
  <dcterms:modified xsi:type="dcterms:W3CDTF">2024-10-17T19:02:23+00:00</dcterms:modified>
</cp:coreProperties>
</file>

<file path=docProps/custom.xml><?xml version="1.0" encoding="utf-8"?>
<Properties xmlns="http://schemas.openxmlformats.org/officeDocument/2006/custom-properties" xmlns:vt="http://schemas.openxmlformats.org/officeDocument/2006/docPropsVTypes"/>
</file>