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RAS-13S4AVPG-E</w:t>
      </w:r>
    </w:p>
    <w:p>
      <w:pPr>
        <w:pStyle w:val="Heading1"/>
      </w:pPr>
      <w:bookmarkStart w:id="1" w:name="_Toc1"/>
      <w:r>
        <w:t>S-Daiseikai10 AG 3,5/4,0kW</w:t>
      </w:r>
      <w:bookmarkEnd w:id="1"/>
    </w:p>
    <w:p/>
    <w:p>
      <w:pPr/>
      <w:r>
        <w:rPr>
          <w:rFonts w:ascii="Arial" w:hAnsi="Arial" w:eastAsia="Arial" w:cs="Arial"/>
          <w:sz w:val="20"/>
          <w:szCs w:val="20"/>
        </w:rPr>
        <w:t xml:space="preserve">GERÄT</w:t>
      </w:r>
    </w:p>
    <w:p>
      <w:pPr/>
      <w:r>
        <w:rPr>
          <w:rFonts w:ascii="Arial" w:hAnsi="Arial" w:eastAsia="Arial" w:cs="Arial"/>
          <w:sz w:val="20"/>
          <w:szCs w:val="20"/>
        </w:rPr>
        <w:t xml:space="preserve"/>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 32 konzipiert. Der Inverter ermöglicht eine bedarfs-abhängige Drehzahlregulierung des Verdichters.  Durch ein Kreislaufumkehrventil lässt sich das Außengerät als Wärmepumpe und Kühlgerät einsetzen. Die Kältemittelanschlüsse können über Absperrventile mit Bördel Verbindung variabel angeschlossen werden. Ein Inverter geregelter Lüftermotor ermöglicht den Betrieb der Anlage bis zu einer Außentemperatur von -15°C im Kühlbetrieb und -20°C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garantiert leisen Betrieb mit optimaler Leistungsentfaltung bei minimalem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R32 konzipierter, großflächiger Hochleistungswärmeaustauscher bestehend aus Kupferkernrohren mit aufgepressten Aluminiumlamellen, L-förmig angeordnet, ein stabiles seitliches Schutzgitter beugt mechanischen Deformationen vor. Ein Ablauf für Kondensat-Wasser ist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 Anschlüsse.</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Hochleistungswärmetauschers in allen Leistungsbereichen.  </w:t>
      </w:r>
    </w:p>
    <w:p>
      <w:pPr/>
      <w:r>
        <w:rPr>
          <w:rFonts w:ascii="Arial" w:hAnsi="Arial" w:eastAsia="Arial" w:cs="Arial"/>
          <w:sz w:val="20"/>
          <w:szCs w:val="20"/>
        </w:rPr>
        <w:t xml:space="preserve">Bedarfsabtauung im Heizbetrieb durch temperaturdifferenzgesteuerte Abtauautomatik. Temperaturthermistoren für PID-Regelung: Sensor zur Regelung der Überhitzung im Kühlbetrieb und zur Regelung der Unterkühlung im Heizbetrieb sowie Sensor zur Prozessoptimierung. </w:t>
      </w:r>
    </w:p>
    <w:p>
      <w:pPr/>
      <w:r>
        <w:rPr>
          <w:rFonts w:ascii="Arial" w:hAnsi="Arial" w:eastAsia="Arial" w:cs="Arial"/>
          <w:sz w:val="20"/>
          <w:szCs w:val="20"/>
        </w:rPr>
        <w:t xml:space="preserve">Starkes Abtauen</w:t>
      </w:r>
    </w:p>
    <w:p>
      <w:pPr/>
      <w:r>
        <w:rPr>
          <w:rFonts w:ascii="Arial" w:hAnsi="Arial" w:eastAsia="Arial" w:cs="Arial"/>
          <w:sz w:val="20"/>
          <w:szCs w:val="20"/>
        </w:rPr>
        <w:t xml:space="preserve">Einzigartige Funktion von Toshiba für einen starken Anti-Frost-Überwachungsmodus und sicheren Gerätebetrieb auch unter extremen Bedingungen.</w:t>
      </w:r>
    </w:p>
    <w:p>
      <w:pPr/>
      <w:r>
        <w:rPr>
          <w:rFonts w:ascii="Arial" w:hAnsi="Arial" w:eastAsia="Arial" w:cs="Arial"/>
          <w:sz w:val="20"/>
          <w:szCs w:val="20"/>
        </w:rPr>
        <w:t xml:space="preserve">Intelligentes Abtauen</w:t>
      </w:r>
    </w:p>
    <w:p>
      <w:pPr/>
      <w:r>
        <w:rPr>
          <w:rFonts w:ascii="Arial" w:hAnsi="Arial" w:eastAsia="Arial" w:cs="Arial"/>
          <w:sz w:val="20"/>
          <w:szCs w:val="20"/>
        </w:rPr>
        <w:t xml:space="preserve">Für einen kontinuierlichen Heizzyklus im Haus und einen beschleunigten Abtauvorgang des Außengeräts.</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0.96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25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15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Nachfüllmenge</w:t>
      </w:r>
    </w:p>
    <w:p>
      <w:pPr/>
      <w:r>
        <w:rPr>
          <w:rFonts w:ascii="Arial" w:hAnsi="Arial" w:eastAsia="Arial" w:cs="Arial"/>
          <w:sz w:val="20"/>
          <w:szCs w:val="20"/>
        </w:rPr>
        <w:t xml:space="preserve">20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2160-600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45 dB(A)</w:t>
      </w:r>
    </w:p>
    <w:p/>
    <w:p>
      <w:pPr/>
      <w:r>
        <w:rPr>
          <w:rFonts w:ascii="Arial" w:hAnsi="Arial" w:eastAsia="Arial" w:cs="Arial"/>
          <w:sz w:val="20"/>
          <w:szCs w:val="20"/>
        </w:rPr>
        <w:t xml:space="preserve">Schalldruckpegel Silent Mode C</w:t>
      </w:r>
    </w:p>
    <w:p>
      <w:pPr/>
      <w:r>
        <w:rPr>
          <w:rFonts w:ascii="Arial" w:hAnsi="Arial" w:eastAsia="Arial" w:cs="Arial"/>
          <w:sz w:val="20"/>
          <w:szCs w:val="20"/>
        </w:rPr>
        <w:t xml:space="preserve">41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58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46 dB(A)</w:t>
      </w:r>
    </w:p>
    <w:p/>
    <w:p>
      <w:pPr/>
      <w:r>
        <w:rPr>
          <w:rFonts w:ascii="Arial" w:hAnsi="Arial" w:eastAsia="Arial" w:cs="Arial"/>
          <w:sz w:val="20"/>
          <w:szCs w:val="20"/>
        </w:rPr>
        <w:t xml:space="preserve">Schalldruckpegel Silent Mode H</w:t>
      </w:r>
    </w:p>
    <w:p>
      <w:pPr/>
      <w:r>
        <w:rPr>
          <w:rFonts w:ascii="Arial" w:hAnsi="Arial" w:eastAsia="Arial" w:cs="Arial"/>
          <w:sz w:val="20"/>
          <w:szCs w:val="20"/>
        </w:rPr>
        <w:t xml:space="preserve">42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59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630 x 800 x 300 mm</w:t>
      </w:r>
    </w:p>
    <w:p/>
    <w:p>
      <w:pPr/>
      <w:r>
        <w:rPr>
          <w:rFonts w:ascii="Arial" w:hAnsi="Arial" w:eastAsia="Arial" w:cs="Arial"/>
          <w:sz w:val="20"/>
          <w:szCs w:val="20"/>
        </w:rPr>
        <w:t xml:space="preserve">Gewicht</w:t>
      </w:r>
    </w:p>
    <w:p>
      <w:pPr/>
      <w:r>
        <w:rPr>
          <w:rFonts w:ascii="Arial" w:hAnsi="Arial" w:eastAsia="Arial" w:cs="Arial"/>
          <w:sz w:val="20"/>
          <w:szCs w:val="20"/>
        </w:rPr>
        <w:t xml:space="preserve">38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-20 / + 24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648</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Bitte beachten Sie beim Einsatz von R32 die Vorschriften für minimale Grundfläche und Raumvolumen m²</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2.1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21:02:12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2024-10-17T19:02:12+00:00</dcterms:created>
  <dcterms:modified xsi:type="dcterms:W3CDTF">2024-10-17T19:02:12+00:00</dcterms:modified>
</cp:coreProperties>
</file>

<file path=docProps/custom.xml><?xml version="1.0" encoding="utf-8"?>
<Properties xmlns="http://schemas.openxmlformats.org/officeDocument/2006/custom-properties" xmlns:vt="http://schemas.openxmlformats.org/officeDocument/2006/docPropsVTypes"/>
</file>