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MMU-UP0031YHP-E</w:t>
      </w:r>
    </w:p>
    <w:p>
      <w:pPr>
        <w:pStyle w:val="Heading1"/>
      </w:pPr>
      <w:bookmarkStart w:id="1" w:name="_Toc1"/>
      <w:r>
        <w:t>VRF 1-Wege Kassette 0,9/1,3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0.9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1.3 kW</w:t>
      </w:r>
    </w:p>
    <w:p/>
    <w:p>
      <w:pPr/>
      <w:r>
        <w:rPr>
          <w:rFonts w:ascii="Arial" w:hAnsi="Arial" w:eastAsia="Arial" w:cs="Arial"/>
          <w:sz w:val="20"/>
          <w:szCs w:val="20"/>
        </w:rPr>
        <w:t xml:space="preserve">Leistungscode</w:t>
      </w:r>
    </w:p>
    <w:p>
      <w:pPr/>
      <w:r>
        <w:rPr>
          <w:rFonts w:ascii="Arial" w:hAnsi="Arial" w:eastAsia="Arial" w:cs="Arial"/>
          <w:sz w:val="20"/>
          <w:szCs w:val="20"/>
        </w:rPr>
        <w:t xml:space="preserve">0.3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990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55/52/47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37/33/25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RBC-UY32P-E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30x1220x530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2024-09-07T21:03:31+00:00</dcterms:created>
  <dcterms:modified xsi:type="dcterms:W3CDTF">2024-09-07T21:03:31+00:00</dcterms:modified>
</cp:coreProperties>
</file>

<file path=docProps/custom.xml><?xml version="1.0" encoding="utf-8"?>
<Properties xmlns="http://schemas.openxmlformats.org/officeDocument/2006/custom-properties" xmlns:vt="http://schemas.openxmlformats.org/officeDocument/2006/docPropsVTypes"/>
</file>