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HWT-1402S21ST9W-E</w:t>
      </w:r>
    </w:p>
    <w:p>
      <w:pPr>
        <w:pStyle w:val="Heading1"/>
      </w:pPr>
      <w:bookmarkStart w:id="1" w:name="_Toc1"/>
      <w:r>
        <w:t>All-in-One Hydr.box 3ph+9kW EH (1Z)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Kompatibel mit Außengerät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2-Zonen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Energie Effizienzklasse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ETA WH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(η WH)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130 %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 bei Luft 7°C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(EN16147)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3.12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01h05 Hrs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Vmax @40°C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(+ E-Heizstab)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Temperatur Anti-Legionellen-Progr.*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Vorlauftemperatur Kühlen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7/25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(Wasservolumen)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(Material)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Emailiert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(Max. Wasserdruck)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Ausdehnungsgefäß 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31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(HxBxT)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1700 x 600 x 670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3x13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3x16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HWS-AMSU51-E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Kabelfernbedienung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HWS-IFAIP01U-E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0-10V Schnittstelle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HWS-IWF0010UP-E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WiFi-Modul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BMS-IFMB0UEW-E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Modbus-Modul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BMS-IFKX0UEW-E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KNX-Modul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BP-THERM-1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Energy Monitoring Modul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HWS-CPR01W-E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Optionale Zirkulationsleitung AIO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23:00:43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2024-09-07T21:00:43+00:00</dcterms:created>
  <dcterms:modified xsi:type="dcterms:W3CDTF">2024-09-07T21:00:43+00:00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