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MMU-UP0151HP-E</w:t>
      </w:r>
    </w:p>
    <w:p>
      <w:pPr>
        <w:pStyle w:val="Heading1"/>
      </w:pPr>
      <w:bookmarkStart w:id="1" w:name="_Toc1"/>
      <w:r>
        <w:t>VRF Std. 4-Wege-Kassette 4,5/5,0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sehr geringer Bauhöhe. Gehäuse aus verzinktem Stahlblech, schall- und wärmedämmend verkleidet. Luftausblasgitter aus hellem Kunststoff wahlweise mit Kabelfernbedienung oder integrierbarem Infrarotempfänger; Luftansaug von unten über auswaschbare Synthetikfilter, Luftausblas wahlweise über 3 oder 4 Seiten. Durch vormontierte Befestigungsschrauben ist das Luftausblasgitter sehr einfach am Gerät zu montieren. Die Luftleitlamellen können über 4 Motoren unabhängig voneinander in fünf unterschiedliche Positionen oder Swing-Betrieb eingestellt werden. Zusätzlich sind zur optimalen Luft- und Temperaturverteilung im Raum zwei verschiedene Ausführungen der Luftleitlamellen möglich (Wide- und Straigt Flow Louver).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VRF-Inverter-Systeme mit Kältemittel R410A entwickelt. Es verfügt über Bördelanschlüsse und eine Kondensathebepumpe mit einem Hub von 850 mm ab Unterkante Zwischendecke Im Verschlussdeckel des Pumpensumpfs integriertes Silberinonen-Granulat verhindert das Entstehen unangenehmer Gerüche bei längeren Stillstands Zeiten der Anlage.</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(DC-) Inverter-Radialventilatormotor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sehr geringer Bauhöhe. Gehäuse aus verzinktem Stahlblech, schall- und wärmedämmend verkleidet. Luftausblasgitter aus hellem Kunststoff wahlweise mit Kabelfernbedienung oder integrierbarem Infrarotempfänger; Luftansaug von unten über auswaschbare Synthetikfilter, Luftausblas wahlweise über 3 oder 4 Seiten. Durch vormontierte Befestigungsschrauben ist das Luftausblasgitter sehr einfach am Gerät zu montieren. Die Luftleitlamellen können über 4 Motoren unabhängig voneinander in fünf unterschiedliche Positionen oder Swing-Betrieb eingestellt werden. Zusätzlich sind zur optimalen Luft- und Temperaturverteilung im Raum zwei verschiedene Ausführungen der Luftleitlamellen möglich (Wide- und Straigt Flow Louver).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VRF-Inverter-Systeme mit Kältemittel R410A entwickelt. Es verfügt über Bördelanschlüsse und eine Kondensathebepumpe mit einem Hub von 850 mm ab Unterkante Zwischendecke Im Verschlussdeckel des Pumpensumpfs integriertes Silberinonen-Granulat verhindert das Entstehen unangenehmer Gerüche bei längeren Stillstands Zeiten der Anlage.</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(DC-) Inverter-Radialventilatormotor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4.5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5 kW</w:t>
      </w:r>
    </w:p>
    <w:p/>
    <w:p>
      <w:pPr/>
      <w:r>
        <w:rPr>
          <w:rFonts w:ascii="Arial" w:hAnsi="Arial" w:eastAsia="Arial" w:cs="Arial"/>
          <w:sz w:val="20"/>
          <w:szCs w:val="20"/>
        </w:rPr>
        <w:t xml:space="preserve">Leistungscode</w:t>
      </w:r>
    </w:p>
    <w:p>
      <w:pPr/>
      <w:r>
        <w:rPr>
          <w:rFonts w:ascii="Arial" w:hAnsi="Arial" w:eastAsia="Arial" w:cs="Arial"/>
          <w:sz w:val="20"/>
          <w:szCs w:val="20"/>
        </w:rPr>
        <w:t xml:space="preserve">1.7</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0.28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0.023 kW</w:t>
      </w:r>
    </w:p>
    <w:p/>
    <w:p>
      <w:pPr/>
      <w:r>
        <w:rPr>
          <w:rFonts w:ascii="Arial" w:hAnsi="Arial" w:eastAsia="Arial" w:cs="Arial"/>
          <w:sz w:val="20"/>
          <w:szCs w:val="20"/>
        </w:rPr>
        <w:t xml:space="preserve">Anlaufstrom</w:t>
      </w:r>
    </w:p>
    <w:p>
      <w:pPr/>
      <w:r>
        <w:rPr>
          <w:rFonts w:ascii="Arial" w:hAnsi="Arial" w:eastAsia="Arial" w:cs="Arial"/>
          <w:sz w:val="20"/>
          <w:szCs w:val="20"/>
        </w:rPr>
        <w:t xml:space="preserve">0.33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256 mm</w:t>
      </w:r>
    </w:p>
    <w:p/>
    <w:p>
      <w:pPr/>
      <w:r>
        <w:rPr>
          <w:rFonts w:ascii="Arial" w:hAnsi="Arial" w:eastAsia="Arial" w:cs="Arial"/>
          <w:sz w:val="20"/>
          <w:szCs w:val="20"/>
        </w:rPr>
        <w:t xml:space="preserve">Breite</w:t>
      </w:r>
    </w:p>
    <w:p>
      <w:pPr/>
      <w:r>
        <w:rPr>
          <w:rFonts w:ascii="Arial" w:hAnsi="Arial" w:eastAsia="Arial" w:cs="Arial"/>
          <w:sz w:val="20"/>
          <w:szCs w:val="20"/>
        </w:rPr>
        <w:t xml:space="preserve">840 mm</w:t>
      </w:r>
    </w:p>
    <w:p/>
    <w:p>
      <w:pPr/>
      <w:r>
        <w:rPr>
          <w:rFonts w:ascii="Arial" w:hAnsi="Arial" w:eastAsia="Arial" w:cs="Arial"/>
          <w:sz w:val="20"/>
          <w:szCs w:val="20"/>
        </w:rPr>
        <w:t xml:space="preserve">Tiefe</w:t>
      </w:r>
    </w:p>
    <w:p>
      <w:pPr/>
      <w:r>
        <w:rPr>
          <w:rFonts w:ascii="Arial" w:hAnsi="Arial" w:eastAsia="Arial" w:cs="Arial"/>
          <w:sz w:val="20"/>
          <w:szCs w:val="20"/>
        </w:rPr>
        <w:t xml:space="preserve">840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20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258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219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231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930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790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830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44/42/40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31/29/27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RBC-U32PGP(W)-E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30x950x950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4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85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TCB-PLFC1UPE120DE</w:t>
      </w:r>
    </w:p>
    <w:p>
      <w:pPr/>
      <w:r>
        <w:rPr>
          <w:rFonts w:ascii="Arial" w:hAnsi="Arial" w:eastAsia="Arial" w:cs="Arial"/>
          <w:sz w:val="20"/>
          <w:szCs w:val="20"/>
        </w:rPr>
        <w:t xml:space="preserve">Zus.filter 2,5PM vor Filt 4WKassRAV/VRF</w:t>
      </w:r>
    </w:p>
    <w:p/>
    <w:p>
      <w:pPr/>
      <w:r>
        <w:rPr>
          <w:rFonts w:ascii="Arial" w:hAnsi="Arial" w:eastAsia="Arial" w:cs="Arial"/>
          <w:sz w:val="20"/>
          <w:szCs w:val="20"/>
        </w:rPr>
        <w:t xml:space="preserve">TCB-PLFC2UPE-80DE</w:t>
      </w:r>
    </w:p>
    <w:p>
      <w:pPr/>
      <w:r>
        <w:rPr>
          <w:rFonts w:ascii="Arial" w:hAnsi="Arial" w:eastAsia="Arial" w:cs="Arial"/>
          <w:sz w:val="20"/>
          <w:szCs w:val="20"/>
        </w:rPr>
        <w:t xml:space="preserve">Zus.filter 2,5PM nach Filt 4WKassRAV/VRF</w:t>
      </w:r>
    </w:p>
    <w:p/>
    <w:p>
      <w:pPr/>
      <w:r>
        <w:rPr>
          <w:rFonts w:ascii="Arial" w:hAnsi="Arial" w:eastAsia="Arial" w:cs="Arial"/>
          <w:sz w:val="20"/>
          <w:szCs w:val="20"/>
        </w:rPr>
        <w:t xml:space="preserve">TCB-GB1602UE</w:t>
      </w:r>
    </w:p>
    <w:p>
      <w:pPr/>
      <w:r>
        <w:rPr>
          <w:rFonts w:ascii="Arial" w:hAnsi="Arial" w:eastAsia="Arial" w:cs="Arial"/>
          <w:sz w:val="20"/>
          <w:szCs w:val="20"/>
        </w:rPr>
        <w:t xml:space="preserve">Frischluftbox</w:t>
      </w:r>
    </w:p>
    <w:p/>
    <w:p>
      <w:pPr/>
      <w:r>
        <w:rPr>
          <w:rFonts w:ascii="Arial" w:hAnsi="Arial" w:eastAsia="Arial" w:cs="Arial"/>
          <w:sz w:val="20"/>
          <w:szCs w:val="20"/>
        </w:rPr>
        <w:t xml:space="preserve">TCB-GFC1602UE</w:t>
      </w:r>
    </w:p>
    <w:p>
      <w:pPr/>
      <w:r>
        <w:rPr>
          <w:rFonts w:ascii="Arial" w:hAnsi="Arial" w:eastAsia="Arial" w:cs="Arial"/>
          <w:sz w:val="20"/>
          <w:szCs w:val="20"/>
        </w:rPr>
        <w:t xml:space="preserve">Frischluft-Filterkammer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TCB-BC1602UE</w:t>
      </w:r>
    </w:p>
    <w:p>
      <w:pPr/>
      <w:r>
        <w:rPr>
          <w:rFonts w:ascii="Arial" w:hAnsi="Arial" w:eastAsia="Arial" w:cs="Arial"/>
          <w:sz w:val="20"/>
          <w:szCs w:val="20"/>
        </w:rPr>
        <w:t xml:space="preserve">BlockiersatzLuftlamelle STANDRD Kassette</w:t>
      </w:r>
    </w:p>
    <w:p/>
    <w:p>
      <w:pPr/>
      <w:r>
        <w:rPr>
          <w:rFonts w:ascii="Arial" w:hAnsi="Arial" w:eastAsia="Arial" w:cs="Arial"/>
          <w:sz w:val="20"/>
          <w:szCs w:val="20"/>
        </w:rPr>
        <w:t xml:space="preserve">TCB-SP1603UE</w:t>
      </w:r>
    </w:p>
    <w:p>
      <w:pPr/>
      <w:r>
        <w:rPr>
          <w:rFonts w:ascii="Arial" w:hAnsi="Arial" w:eastAsia="Arial" w:cs="Arial"/>
          <w:sz w:val="20"/>
          <w:szCs w:val="20"/>
        </w:rPr>
        <w:t xml:space="preserve">Höhenanpassung</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TCB-ADCN510UP-E</w:t>
      </w:r>
    </w:p>
    <w:p>
      <w:pPr/>
      <w:r>
        <w:rPr>
          <w:rFonts w:ascii="Arial" w:hAnsi="Arial" w:eastAsia="Arial" w:cs="Arial"/>
          <w:sz w:val="20"/>
          <w:szCs w:val="20"/>
        </w:rPr>
        <w:t xml:space="preserve">Paneel Adapter RBC-U32PGP-E/4W Std</w:t>
      </w:r>
    </w:p>
    <w:p/>
    <w:p>
      <w:pPr/>
      <w:r>
        <w:rPr>
          <w:rFonts w:ascii="Arial" w:hAnsi="Arial" w:eastAsia="Arial" w:cs="Arial"/>
          <w:sz w:val="20"/>
          <w:szCs w:val="20"/>
        </w:rPr>
        <w:t xml:space="preserve">RBC-AXU33UP-E</w:t>
      </w:r>
    </w:p>
    <w:p>
      <w:pPr/>
      <w:r>
        <w:rPr>
          <w:rFonts w:ascii="Arial" w:hAnsi="Arial" w:eastAsia="Arial" w:cs="Arial"/>
          <w:sz w:val="20"/>
          <w:szCs w:val="20"/>
        </w:rPr>
        <w:t xml:space="preserve">Kit Infrarot-FB Für RBC-U33P-E</w:t>
      </w:r>
    </w:p>
    <w:p/>
    <w:p>
      <w:pPr/>
      <w:r>
        <w:rPr>
          <w:rFonts w:ascii="Arial" w:hAnsi="Arial" w:eastAsia="Arial" w:cs="Arial"/>
          <w:sz w:val="20"/>
          <w:szCs w:val="20"/>
        </w:rPr>
        <w:t xml:space="preserve">TCB-SIR33UP-E</w:t>
      </w:r>
    </w:p>
    <w:p>
      <w:pPr/>
      <w:r>
        <w:rPr>
          <w:rFonts w:ascii="Arial" w:hAnsi="Arial" w:eastAsia="Arial" w:cs="Arial"/>
          <w:sz w:val="20"/>
          <w:szCs w:val="20"/>
        </w:rPr>
        <w:t xml:space="preserve">Bewegungssensor für Paneel RBC-U33P-E</w:t>
      </w:r>
    </w:p>
    <w:p/>
    <w:p>
      <w:pPr/>
      <w:r>
        <w:rPr>
          <w:rFonts w:ascii="Arial" w:hAnsi="Arial" w:eastAsia="Arial" w:cs="Arial"/>
          <w:sz w:val="20"/>
          <w:szCs w:val="20"/>
        </w:rPr>
        <w:t xml:space="preserve">RBC-U33P-E</w:t>
      </w:r>
    </w:p>
    <w:p>
      <w:pPr/>
      <w:r>
        <w:rPr>
          <w:rFonts w:ascii="Arial" w:hAnsi="Arial" w:eastAsia="Arial" w:cs="Arial"/>
          <w:sz w:val="20"/>
          <w:szCs w:val="20"/>
        </w:rPr>
        <w:t xml:space="preserve">Paneel ohne IR für Anwesenheitssensor</w:t>
      </w:r>
    </w:p>
    <w:p/>
    <w:p>
      <w:pPr/>
      <w:r>
        <w:rPr>
          <w:rFonts w:ascii="Arial" w:hAnsi="Arial" w:eastAsia="Arial" w:cs="Arial"/>
          <w:sz w:val="20"/>
          <w:szCs w:val="20"/>
        </w:rPr>
        <w:t xml:space="preserve">TCB-EABC1UHP-E</w:t>
      </w:r>
    </w:p>
    <w:p>
      <w:pPr/>
      <w:r>
        <w:rPr>
          <w:rFonts w:ascii="Arial" w:hAnsi="Arial" w:eastAsia="Arial" w:cs="Arial"/>
          <w:sz w:val="20"/>
          <w:szCs w:val="20"/>
        </w:rPr>
        <w:t xml:space="preserve">Luftreiniger für RBC-U33P-E</w:t>
      </w:r>
    </w:p>
    <w:p/>
    <w:p>
      <w:pPr/>
      <w:r>
        <w:rPr>
          <w:rFonts w:ascii="Arial" w:hAnsi="Arial" w:eastAsia="Arial" w:cs="Arial"/>
          <w:sz w:val="20"/>
          <w:szCs w:val="20"/>
        </w:rPr>
        <w:t xml:space="preserve">RBC-U33PB-E</w:t>
      </w:r>
    </w:p>
    <w:p>
      <w:pPr/>
      <w:r>
        <w:rPr>
          <w:rFonts w:ascii="Arial" w:hAnsi="Arial" w:eastAsia="Arial" w:cs="Arial"/>
          <w:sz w:val="20"/>
          <w:szCs w:val="20"/>
        </w:rPr>
        <w:t xml:space="preserve">Schwarzes Paneel ohne IR</w:t>
      </w:r>
    </w:p>
    <w:p/>
    <w:p>
      <w:pPr/>
      <w:r>
        <w:rPr>
          <w:rFonts w:ascii="Arial" w:hAnsi="Arial" w:eastAsia="Arial" w:cs="Arial"/>
          <w:sz w:val="20"/>
          <w:szCs w:val="20"/>
        </w:rPr>
        <w:t xml:space="preserve">TCB-EAPC1UHP-E</w:t>
      </w:r>
    </w:p>
    <w:p>
      <w:pPr/>
      <w:r>
        <w:rPr>
          <w:rFonts w:ascii="Arial" w:hAnsi="Arial" w:eastAsia="Arial" w:cs="Arial"/>
          <w:sz w:val="20"/>
          <w:szCs w:val="20"/>
        </w:rPr>
        <w:t xml:space="preserve">Luftreiniger f. RBC-U33P-E</w:t>
      </w:r>
    </w:p>
    <w:p/>
    <w:p>
      <w:pPr/>
      <w:r>
        <w:rPr>
          <w:rFonts w:ascii="Arial" w:hAnsi="Arial" w:eastAsia="Arial" w:cs="Arial"/>
          <w:sz w:val="20"/>
          <w:szCs w:val="20"/>
        </w:rPr>
        <w:t xml:space="preserve">RBC-AXU33UPB-E</w:t>
      </w:r>
    </w:p>
    <w:p>
      <w:pPr/>
      <w:r>
        <w:rPr>
          <w:rFonts w:ascii="Arial" w:hAnsi="Arial" w:eastAsia="Arial" w:cs="Arial"/>
          <w:sz w:val="20"/>
          <w:szCs w:val="20"/>
        </w:rPr>
        <w:t xml:space="preserve">Kit Infrarot-FB für RBC-U33PB-E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23:05:53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2024-09-07T21:05:53+00:00</dcterms:created>
  <dcterms:modified xsi:type="dcterms:W3CDTF">2024-09-07T21:05:53+00:00</dcterms:modified>
</cp:coreProperties>
</file>

<file path=docProps/custom.xml><?xml version="1.0" encoding="utf-8"?>
<Properties xmlns="http://schemas.openxmlformats.org/officeDocument/2006/custom-properties" xmlns:vt="http://schemas.openxmlformats.org/officeDocument/2006/docPropsVTypes"/>
</file>