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MMF-UP0181H-E</w:t>
      </w:r>
    </w:p>
    <w:p>
      <w:pPr>
        <w:pStyle w:val="Heading1"/>
      </w:pPr>
      <w:bookmarkStart w:id="1" w:name="_Toc1"/>
      <w:r>
        <w:t>VRF  Schrank-Standgerät 5,6/6,3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Gehäuse aus verzinktem Stahlblech mit heller Einbrennlackierung, schall- und wärmedämmend verkleidet. Luftansaugung erfolgt auf der Vorderseite unten über einen Luftfilter, Luftausblas befindet sich auf der Vorderseite oben. Die Luftleitlamellen sind manuell horizontal verstellbar. Kältemittelanschlüsse über 4 Richtungen möglich. Nach Öffnen des Gehäuses sind die Elektronik und alle wichtigen Einbauteile des Gerätes leicht zugänglich. Das Innengerät wurde speziell für Toshiba VRF-Systeme mit Kältemittel R410A entwickelt und verfügt über zwei Bördelanschlüsse.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R410A optimierte Hochleistungswärmetauscher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Wechselstromventilatormotor mit neu entwickelten Ventilatorschaufeln sorgt für noch mehr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MIKROPROZESSORREGELUNG</w:t>
      </w:r>
    </w:p>
    <w:p>
      <w:pPr/>
      <w:r>
        <w:rPr>
          <w:rFonts w:ascii="Arial" w:hAnsi="Arial" w:eastAsia="Arial" w:cs="Arial"/>
          <w:sz w:val="20"/>
          <w:szCs w:val="20"/>
        </w:rPr>
        <w:t xml:space="preserve">Die mikroprozessorgestützte Regelung steuert das elektronische Pulsmodulationsventil (PMV) mit 1500 bzw. 2000 Schritten. Dies ermöglicht die lastabhängige Leistungsregelung und eine optimale Ausnutzung des Hochleistungswärmetauschers in allen Leistungsbereichen. Temperaturthermistoren für PID-Regelung: Rückluftsensor, Sensor zur Regelung der Überhitzung im Kühlbetrieb und zur Regelung der Unterkühlung im Heizbetrieb sowie Sensor zur Prozessoptimierung. Die Grundgerätefunktionen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TU2C und TCC-Link und deren Zubehörproduktpalette.</w:t>
      </w:r>
    </w:p>
    <w:p>
      <w:pPr/>
      <w:r>
        <w:rPr>
          <w:rFonts w:ascii="Arial" w:hAnsi="Arial" w:eastAsia="Arial" w:cs="Arial"/>
          <w:sz w:val="20"/>
          <w:szCs w:val="20"/>
        </w:rPr>
        <w:t xml:space="preserve"/>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Nennheizleistung</w:t>
      </w:r>
    </w:p>
    <w:p>
      <w:pPr/>
      <w:r>
        <w:rPr>
          <w:rFonts w:ascii="Arial" w:hAnsi="Arial" w:eastAsia="Arial" w:cs="Arial"/>
          <w:sz w:val="20"/>
          <w:szCs w:val="20"/>
        </w:rPr>
        <w:t xml:space="preserve">6.3 kW</w:t>
      </w:r>
    </w:p>
    <w:p/>
    <w:p>
      <w:pPr/>
      <w:r>
        <w:rPr>
          <w:rFonts w:ascii="Arial" w:hAnsi="Arial" w:eastAsia="Arial" w:cs="Arial"/>
          <w:sz w:val="20"/>
          <w:szCs w:val="20"/>
        </w:rPr>
        <w:t xml:space="preserve">Leistungscode</w:t>
      </w:r>
    </w:p>
    <w:p>
      <w:pPr/>
      <w:r>
        <w:rPr>
          <w:rFonts w:ascii="Arial" w:hAnsi="Arial" w:eastAsia="Arial" w:cs="Arial"/>
          <w:sz w:val="20"/>
          <w:szCs w:val="20"/>
        </w:rPr>
        <w:t xml:space="preserve">2</w:t>
      </w:r>
    </w:p>
    <w:p/>
    <w:p>
      <w:pPr/>
      <w:r>
        <w:rPr>
          <w:rFonts w:ascii="Arial" w:hAnsi="Arial" w:eastAsia="Arial" w:cs="Arial"/>
          <w:sz w:val="20"/>
          <w:szCs w:val="20"/>
        </w:rPr>
        <w:t xml:space="preserve">Stromversorgung</w:t>
      </w:r>
    </w:p>
    <w:p>
      <w:pPr/>
      <w:r>
        <w:rPr>
          <w:rFonts w:ascii="Arial" w:hAnsi="Arial" w:eastAsia="Arial" w:cs="Arial"/>
          <w:sz w:val="20"/>
          <w:szCs w:val="20"/>
        </w:rPr>
        <w:t xml:space="preserve">230-1-50 (Spannungsbereich 220-240 V) - Stromversorgung nur zum Innengerät V-Ph-Hz</w:t>
      </w:r>
    </w:p>
    <w:p/>
    <w:p>
      <w:pPr/>
      <w:r>
        <w:rPr>
          <w:rFonts w:ascii="Arial" w:hAnsi="Arial" w:eastAsia="Arial" w:cs="Arial"/>
          <w:sz w:val="20"/>
          <w:szCs w:val="20"/>
        </w:rPr>
        <w:t xml:space="preserve">Betriebsstrom</w:t>
      </w:r>
    </w:p>
    <w:p>
      <w:pPr/>
      <w:r>
        <w:rPr>
          <w:rFonts w:ascii="Arial" w:hAnsi="Arial" w:eastAsia="Arial" w:cs="Arial"/>
          <w:sz w:val="20"/>
          <w:szCs w:val="20"/>
        </w:rPr>
        <w:t xml:space="preserve">0.38 A</w:t>
      </w:r>
    </w:p>
    <w:p/>
    <w:p>
      <w:pPr/>
      <w:r>
        <w:rPr>
          <w:rFonts w:ascii="Arial" w:hAnsi="Arial" w:eastAsia="Arial" w:cs="Arial"/>
          <w:sz w:val="20"/>
          <w:szCs w:val="20"/>
        </w:rPr>
        <w:t xml:space="preserve">Leistungsaufnahme</w:t>
      </w:r>
    </w:p>
    <w:p>
      <w:pPr/>
      <w:r>
        <w:rPr>
          <w:rFonts w:ascii="Arial" w:hAnsi="Arial" w:eastAsia="Arial" w:cs="Arial"/>
          <w:sz w:val="20"/>
          <w:szCs w:val="20"/>
        </w:rPr>
        <w:t xml:space="preserve">0.055 kW</w:t>
      </w:r>
    </w:p>
    <w:p/>
    <w:p>
      <w:pPr/>
      <w:r>
        <w:rPr>
          <w:rFonts w:ascii="Arial" w:hAnsi="Arial" w:eastAsia="Arial" w:cs="Arial"/>
          <w:sz w:val="20"/>
          <w:szCs w:val="20"/>
        </w:rPr>
        <w:t xml:space="preserve">Anlaufstrom</w:t>
      </w:r>
    </w:p>
    <w:p>
      <w:pPr/>
      <w:r>
        <w:rPr>
          <w:rFonts w:ascii="Arial" w:hAnsi="Arial" w:eastAsia="Arial" w:cs="Arial"/>
          <w:sz w:val="20"/>
          <w:szCs w:val="20"/>
        </w:rPr>
        <w:t xml:space="preserve">0.53 A</w:t>
      </w:r>
    </w:p>
    <w:p/>
    <w:p>
      <w:pPr/>
      <w:r>
        <w:rPr>
          <w:rFonts w:ascii="Arial" w:hAnsi="Arial" w:eastAsia="Arial" w:cs="Arial"/>
          <w:sz w:val="20"/>
          <w:szCs w:val="20"/>
        </w:rPr>
        <w:t xml:space="preserve">Gehäusefarbe</w:t>
      </w:r>
    </w:p>
    <w:p>
      <w:pPr/>
      <w:r>
        <w:rPr>
          <w:rFonts w:ascii="Arial" w:hAnsi="Arial" w:eastAsia="Arial" w:cs="Arial"/>
          <w:sz w:val="20"/>
          <w:szCs w:val="20"/>
        </w:rPr>
        <w:t xml:space="preserve">Seidig beige (Munsell / 1Y 8,5/0,5)</w:t>
      </w:r>
    </w:p>
    <w:p/>
    <w:p>
      <w:pPr/>
      <w:r>
        <w:rPr>
          <w:rFonts w:ascii="Arial" w:hAnsi="Arial" w:eastAsia="Arial" w:cs="Arial"/>
          <w:sz w:val="20"/>
          <w:szCs w:val="20"/>
        </w:rPr>
        <w:t xml:space="preserve">Höhe</w:t>
      </w:r>
    </w:p>
    <w:p>
      <w:pPr/>
      <w:r>
        <w:rPr>
          <w:rFonts w:ascii="Arial" w:hAnsi="Arial" w:eastAsia="Arial" w:cs="Arial"/>
          <w:sz w:val="20"/>
          <w:szCs w:val="20"/>
        </w:rPr>
        <w:t xml:space="preserve">1750 mm</w:t>
      </w:r>
    </w:p>
    <w:p/>
    <w:p>
      <w:pPr/>
      <w:r>
        <w:rPr>
          <w:rFonts w:ascii="Arial" w:hAnsi="Arial" w:eastAsia="Arial" w:cs="Arial"/>
          <w:sz w:val="20"/>
          <w:szCs w:val="20"/>
        </w:rPr>
        <w:t xml:space="preserve">Breite</w:t>
      </w:r>
    </w:p>
    <w:p>
      <w:pPr/>
      <w:r>
        <w:rPr>
          <w:rFonts w:ascii="Arial" w:hAnsi="Arial" w:eastAsia="Arial" w:cs="Arial"/>
          <w:sz w:val="20"/>
          <w:szCs w:val="20"/>
        </w:rPr>
        <w:t xml:space="preserve">600 mm</w:t>
      </w:r>
    </w:p>
    <w:p/>
    <w:p>
      <w:pPr/>
      <w:r>
        <w:rPr>
          <w:rFonts w:ascii="Arial" w:hAnsi="Arial" w:eastAsia="Arial" w:cs="Arial"/>
          <w:sz w:val="20"/>
          <w:szCs w:val="20"/>
        </w:rPr>
        <w:t xml:space="preserve">Tiefe</w:t>
      </w:r>
    </w:p>
    <w:p>
      <w:pPr/>
      <w:r>
        <w:rPr>
          <w:rFonts w:ascii="Arial" w:hAnsi="Arial" w:eastAsia="Arial" w:cs="Arial"/>
          <w:sz w:val="20"/>
          <w:szCs w:val="20"/>
        </w:rPr>
        <w:t xml:space="preserve">210 mm</w:t>
      </w:r>
    </w:p>
    <w:p/>
    <w:p>
      <w:pPr/>
      <w:r>
        <w:rPr>
          <w:rFonts w:ascii="Arial" w:hAnsi="Arial" w:eastAsia="Arial" w:cs="Arial"/>
          <w:sz w:val="20"/>
          <w:szCs w:val="20"/>
        </w:rPr>
        <w:t xml:space="preserve">Gerätegewicht</w:t>
      </w:r>
    </w:p>
    <w:p>
      <w:pPr/>
      <w:r>
        <w:rPr>
          <w:rFonts w:ascii="Arial" w:hAnsi="Arial" w:eastAsia="Arial" w:cs="Arial"/>
          <w:sz w:val="20"/>
          <w:szCs w:val="20"/>
        </w:rPr>
        <w:t xml:space="preserve">46 kg</w:t>
      </w:r>
    </w:p>
    <w:p/>
    <w:p>
      <w:pPr/>
      <w:r>
        <w:rPr>
          <w:rFonts w:ascii="Arial" w:hAnsi="Arial" w:eastAsia="Arial" w:cs="Arial"/>
          <w:sz w:val="20"/>
          <w:szCs w:val="20"/>
        </w:rPr>
        <w:t xml:space="preserve">Wärmeaustauscher</w:t>
      </w:r>
    </w:p>
    <w:p>
      <w:pPr/>
      <w:r>
        <w:rPr>
          <w:rFonts w:ascii="Arial" w:hAnsi="Arial" w:eastAsia="Arial" w:cs="Arial"/>
          <w:sz w:val="20"/>
          <w:szCs w:val="20"/>
        </w:rPr>
        <w:t xml:space="preserve">Beripptes Rohr</w:t>
      </w:r>
    </w:p>
    <w:p/>
    <w:p>
      <w:pPr/>
      <w:r>
        <w:rPr>
          <w:rFonts w:ascii="Arial" w:hAnsi="Arial" w:eastAsia="Arial" w:cs="Arial"/>
          <w:sz w:val="20"/>
          <w:szCs w:val="20"/>
        </w:rPr>
        <w:t xml:space="preserve">Schalldämmung / Wärmeisoliermaterial</w:t>
      </w:r>
    </w:p>
    <w:p>
      <w:pPr/>
      <w:r>
        <w:rPr>
          <w:rFonts w:ascii="Arial" w:hAnsi="Arial" w:eastAsia="Arial" w:cs="Arial"/>
          <w:sz w:val="20"/>
          <w:szCs w:val="20"/>
        </w:rPr>
        <w:t xml:space="preserve">Nicht entflammbare Isolierung</w:t>
      </w:r>
    </w:p>
    <w:p/>
    <w:p>
      <w:pPr/>
      <w:r>
        <w:rPr>
          <w:rFonts w:ascii="Arial" w:hAnsi="Arial" w:eastAsia="Arial" w:cs="Arial"/>
          <w:sz w:val="20"/>
          <w:szCs w:val="20"/>
        </w:rPr>
        <w:t xml:space="preserve">Ventilatortyp</w:t>
      </w:r>
    </w:p>
    <w:p>
      <w:pPr/>
      <w:r>
        <w:rPr>
          <w:rFonts w:ascii="Arial" w:hAnsi="Arial" w:eastAsia="Arial" w:cs="Arial"/>
          <w:sz w:val="20"/>
          <w:szCs w:val="20"/>
        </w:rPr>
        <w:t xml:space="preserve">Radialventilator</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227 l/s</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167 l/s</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194 l/s</w:t>
      </w:r>
    </w:p>
    <w:p/>
    <w:p>
      <w:pPr/>
      <w:r>
        <w:rPr>
          <w:rFonts w:ascii="Arial" w:hAnsi="Arial" w:eastAsia="Arial" w:cs="Arial"/>
          <w:sz w:val="20"/>
          <w:szCs w:val="20"/>
        </w:rPr>
        <w:t xml:space="preserve">Luftvolumenstrom Hoch</w:t>
      </w:r>
    </w:p>
    <w:p>
      <w:pPr/>
      <w:r>
        <w:rPr>
          <w:rFonts w:ascii="Arial" w:hAnsi="Arial" w:eastAsia="Arial" w:cs="Arial"/>
          <w:sz w:val="20"/>
          <w:szCs w:val="20"/>
        </w:rPr>
        <w:t xml:space="preserve">820 m³/h</w:t>
      </w:r>
    </w:p>
    <w:p/>
    <w:p>
      <w:pPr/>
      <w:r>
        <w:rPr>
          <w:rFonts w:ascii="Arial" w:hAnsi="Arial" w:eastAsia="Arial" w:cs="Arial"/>
          <w:sz w:val="20"/>
          <w:szCs w:val="20"/>
        </w:rPr>
        <w:t xml:space="preserve">Luftvolumenstrom Niedrig</w:t>
      </w:r>
    </w:p>
    <w:p>
      <w:pPr/>
      <w:r>
        <w:rPr>
          <w:rFonts w:ascii="Arial" w:hAnsi="Arial" w:eastAsia="Arial" w:cs="Arial"/>
          <w:sz w:val="20"/>
          <w:szCs w:val="20"/>
        </w:rPr>
        <w:t xml:space="preserve">600 m³/h</w:t>
      </w:r>
    </w:p>
    <w:p/>
    <w:p>
      <w:pPr/>
      <w:r>
        <w:rPr>
          <w:rFonts w:ascii="Arial" w:hAnsi="Arial" w:eastAsia="Arial" w:cs="Arial"/>
          <w:sz w:val="20"/>
          <w:szCs w:val="20"/>
        </w:rPr>
        <w:t xml:space="preserve">Luftvolumenstrom Mittel</w:t>
      </w:r>
    </w:p>
    <w:p>
      <w:pPr/>
      <w:r>
        <w:rPr>
          <w:rFonts w:ascii="Arial" w:hAnsi="Arial" w:eastAsia="Arial" w:cs="Arial"/>
          <w:sz w:val="20"/>
          <w:szCs w:val="20"/>
        </w:rPr>
        <w:t xml:space="preserve">700 m³/h</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64/60/55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(hoch/mittel/niedrig)</w:t>
      </w:r>
    </w:p>
    <w:p>
      <w:pPr/>
      <w:r>
        <w:rPr>
          <w:rFonts w:ascii="Arial" w:hAnsi="Arial" w:eastAsia="Arial" w:cs="Arial"/>
          <w:sz w:val="20"/>
          <w:szCs w:val="20"/>
        </w:rPr>
        <w:t xml:space="preserve">46/42/38 dB(A)</w:t>
      </w:r>
    </w:p>
    <w:p/>
    <w:p>
      <w:pPr/>
      <w:r>
        <w:rPr>
          <w:rFonts w:ascii="Arial" w:hAnsi="Arial" w:eastAsia="Arial" w:cs="Arial"/>
          <w:sz w:val="20"/>
          <w:szCs w:val="20"/>
        </w:rPr>
        <w:t xml:space="preserve">Luftfilter</w:t>
      </w:r>
    </w:p>
    <w:p>
      <w:pPr/>
      <w:r>
        <w:rPr>
          <w:rFonts w:ascii="Arial" w:hAnsi="Arial" w:eastAsia="Arial" w:cs="Arial"/>
          <w:sz w:val="20"/>
          <w:szCs w:val="20"/>
        </w:rPr>
        <w:t xml:space="preserve">Standardfilter mitgeliefert</w:t>
      </w:r>
    </w:p>
    <w:p/>
    <w:p>
      <w:pPr/>
      <w:r>
        <w:rPr>
          <w:rFonts w:ascii="Arial" w:hAnsi="Arial" w:eastAsia="Arial" w:cs="Arial"/>
          <w:sz w:val="20"/>
          <w:szCs w:val="20"/>
        </w:rPr>
        <w:t xml:space="preserve">Regler</w:t>
      </w:r>
    </w:p>
    <w:p>
      <w:pPr/>
      <w:r>
        <w:rPr>
          <w:rFonts w:ascii="Arial" w:hAnsi="Arial" w:eastAsia="Arial" w:cs="Arial"/>
          <w:sz w:val="20"/>
          <w:szCs w:val="20"/>
        </w:rPr>
        <w:t xml:space="preserve">Fernbedienung als Zubehör erhältlich</w:t>
      </w:r>
    </w:p>
    <w:p/>
    <w:p>
      <w:pPr/>
      <w:r>
        <w:rPr>
          <w:rFonts w:ascii="Arial" w:hAnsi="Arial" w:eastAsia="Arial" w:cs="Arial"/>
          <w:sz w:val="20"/>
          <w:szCs w:val="20"/>
        </w:rPr>
        <w:t xml:space="preserve">Sauggasleitung</w:t>
      </w:r>
    </w:p>
    <w:p>
      <w:pPr/>
      <w:r>
        <w:rPr>
          <w:rFonts w:ascii="Arial" w:hAnsi="Arial" w:eastAsia="Arial" w:cs="Arial"/>
          <w:sz w:val="20"/>
          <w:szCs w:val="20"/>
        </w:rPr>
        <w:t xml:space="preserve">(Anschluss-Ø)</w:t>
      </w:r>
    </w:p>
    <w:p>
      <w:pPr/>
      <w:r>
        <w:rPr>
          <w:rFonts w:ascii="Arial" w:hAnsi="Arial" w:eastAsia="Arial" w:cs="Arial"/>
          <w:sz w:val="20"/>
          <w:szCs w:val="20"/>
        </w:rPr>
        <w:t xml:space="preserve">1/2 (12,7) inch (mm)</w:t>
      </w:r>
    </w:p>
    <w:p/>
    <w:p>
      <w:pPr/>
      <w:r>
        <w:rPr>
          <w:rFonts w:ascii="Arial" w:hAnsi="Arial" w:eastAsia="Arial" w:cs="Arial"/>
          <w:sz w:val="20"/>
          <w:szCs w:val="20"/>
        </w:rPr>
        <w:t xml:space="preserve">Flüssigkeitsleitung</w:t>
      </w:r>
    </w:p>
    <w:p>
      <w:pPr/>
      <w:r>
        <w:rPr>
          <w:rFonts w:ascii="Arial" w:hAnsi="Arial" w:eastAsia="Arial" w:cs="Arial"/>
          <w:sz w:val="20"/>
          <w:szCs w:val="20"/>
        </w:rPr>
        <w:t xml:space="preserve">(Anschluss-Ø)</w:t>
      </w:r>
    </w:p>
    <w:p>
      <w:pPr/>
      <w:r>
        <w:rPr>
          <w:rFonts w:ascii="Arial" w:hAnsi="Arial" w:eastAsia="Arial" w:cs="Arial"/>
          <w:sz w:val="20"/>
          <w:szCs w:val="20"/>
        </w:rPr>
        <w:t xml:space="preserve">1/4 (6,4) inch (mm)</w:t>
      </w:r>
    </w:p>
    <w:p/>
    <w:p>
      <w:pPr/>
      <w:r>
        <w:rPr>
          <w:rFonts w:ascii="Arial" w:hAnsi="Arial" w:eastAsia="Arial" w:cs="Arial"/>
          <w:sz w:val="20"/>
          <w:szCs w:val="20"/>
        </w:rPr>
        <w:t xml:space="preserve">Ablaufanschluss, Nenn-Ø</w:t>
      </w:r>
    </w:p>
    <w:p>
      <w:pPr/>
      <w:r>
        <w:rPr>
          <w:rFonts w:ascii="Arial" w:hAnsi="Arial" w:eastAsia="Arial" w:cs="Arial"/>
          <w:sz w:val="20"/>
          <w:szCs w:val="20"/>
        </w:rPr>
        <w:t xml:space="preserve">(Polyvinylrohr)</w:t>
      </w:r>
    </w:p>
    <w:p>
      <w:pPr/>
      <w:r>
        <w:rPr>
          <w:rFonts w:ascii="Arial" w:hAnsi="Arial" w:eastAsia="Arial" w:cs="Arial"/>
          <w:sz w:val="20"/>
          <w:szCs w:val="20"/>
        </w:rPr>
        <w:t xml:space="preserve">20 mm</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TCB-PCUC2E</w:t>
      </w:r>
    </w:p>
    <w:p>
      <w:pPr/>
      <w:r>
        <w:rPr>
          <w:rFonts w:ascii="Arial" w:hAnsi="Arial" w:eastAsia="Arial" w:cs="Arial"/>
          <w:sz w:val="20"/>
          <w:szCs w:val="20"/>
        </w:rPr>
        <w:t xml:space="preserve">Relaisplatine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TCB-CKC1F-E</w:t>
      </w:r>
    </w:p>
    <w:p>
      <w:pPr/>
      <w:r>
        <w:rPr>
          <w:rFonts w:ascii="Arial" w:hAnsi="Arial" w:eastAsia="Arial" w:cs="Arial"/>
          <w:sz w:val="20"/>
          <w:szCs w:val="20"/>
        </w:rPr>
        <w:t xml:space="preserve">Blinddeckel Fernbedienung Standg.</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23:08:25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2024-09-07T21:08:25+00:00</dcterms:created>
  <dcterms:modified xsi:type="dcterms:W3CDTF">2024-09-07T21:08:25+00:00</dcterms:modified>
</cp:coreProperties>
</file>

<file path=docProps/custom.xml><?xml version="1.0" encoding="utf-8"?>
<Properties xmlns="http://schemas.openxmlformats.org/officeDocument/2006/custom-properties" xmlns:vt="http://schemas.openxmlformats.org/officeDocument/2006/docPropsVTypes"/>
</file>