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MMD-UP0961HP-E1</w:t>
      </w:r>
    </w:p>
    <w:p>
      <w:pPr>
        <w:pStyle w:val="Heading1"/>
      </w:pPr>
      <w:bookmarkStart w:id="1" w:name="_Toc1"/>
      <w:r>
        <w:t>VRF Hochdruck Kanalgerät  28,0/31,5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31.5 kW</w:t>
      </w:r>
    </w:p>
    <w:p/>
    <w:p>
      <w:pPr/>
      <w:r>
        <w:rPr>
          <w:rFonts w:ascii="Arial" w:hAnsi="Arial" w:eastAsia="Arial" w:cs="Arial"/>
          <w:sz w:val="20"/>
          <w:szCs w:val="20"/>
        </w:rPr>
        <w:t xml:space="preserve">Leistungscode</w:t>
      </w:r>
    </w:p>
    <w:p>
      <w:pPr/>
      <w:r>
        <w:rPr>
          <w:rFonts w:ascii="Arial" w:hAnsi="Arial" w:eastAsia="Arial" w:cs="Arial"/>
          <w:sz w:val="20"/>
          <w:szCs w:val="20"/>
        </w:rPr>
        <w:t xml:space="preserve">10</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3.77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0.79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448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972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1167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4200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81/77/73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46/42/38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7/8 (22,2)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150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TCB-LK2801DP-E</w:t>
      </w:r>
    </w:p>
    <w:p>
      <w:pPr/>
      <w:r>
        <w:rPr>
          <w:rFonts w:ascii="Arial" w:hAnsi="Arial" w:eastAsia="Arial" w:cs="Arial"/>
          <w:sz w:val="20"/>
          <w:szCs w:val="20"/>
        </w:rPr>
        <w:t xml:space="preserve">Langzeitfilter DTP+761-961HP E(1)(2)</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TCB-DP40DPE</w:t>
      </w:r>
    </w:p>
    <w:p>
      <w:pPr/>
      <w:r>
        <w:rPr>
          <w:rFonts w:ascii="Arial" w:hAnsi="Arial" w:eastAsia="Arial" w:cs="Arial"/>
          <w:sz w:val="20"/>
          <w:szCs w:val="20"/>
        </w:rPr>
        <w:t xml:space="preserve">Kondensatpumpe h 500mm</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2024-09-07T21:11:46+00:00</dcterms:created>
  <dcterms:modified xsi:type="dcterms:W3CDTF">2024-09-07T21:11:46+00:00</dcterms:modified>
</cp:coreProperties>
</file>

<file path=docProps/custom.xml><?xml version="1.0" encoding="utf-8"?>
<Properties xmlns="http://schemas.openxmlformats.org/officeDocument/2006/custom-properties" xmlns:vt="http://schemas.openxmlformats.org/officeDocument/2006/docPropsVTypes"/>
</file>